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C7DD6" w14:textId="77777777" w:rsidR="00C26C56" w:rsidRDefault="00C26C56" w:rsidP="58E0EE24">
      <w:pPr>
        <w:jc w:val="center"/>
        <w:rPr>
          <w:rFonts w:ascii="Helvetica" w:eastAsia="Helvetica Neue" w:hAnsi="Helvetica" w:cs="Helvetica Neue"/>
          <w:b/>
          <w:bCs/>
          <w:caps/>
          <w:color w:val="000000" w:themeColor="text1"/>
          <w:sz w:val="31"/>
          <w:szCs w:val="31"/>
        </w:rPr>
      </w:pPr>
    </w:p>
    <w:p w14:paraId="6527827C" w14:textId="77777777" w:rsidR="00C26C56" w:rsidRPr="00C26C56" w:rsidRDefault="00C26C56" w:rsidP="58E0EE24">
      <w:pPr>
        <w:jc w:val="center"/>
        <w:rPr>
          <w:rFonts w:ascii="Aptos" w:eastAsia="Helvetica Neue" w:hAnsi="Aptos" w:cs="Helvetica Neue"/>
          <w:b/>
          <w:bCs/>
          <w:caps/>
          <w:color w:val="000000" w:themeColor="text1"/>
          <w:sz w:val="31"/>
          <w:szCs w:val="31"/>
        </w:rPr>
      </w:pPr>
    </w:p>
    <w:p w14:paraId="7AED9F0D" w14:textId="79D46B5B" w:rsidR="3A7A939F" w:rsidRPr="00C26C56" w:rsidRDefault="3A7A939F" w:rsidP="58E0EE24">
      <w:pPr>
        <w:jc w:val="center"/>
        <w:rPr>
          <w:rFonts w:ascii="Aptos" w:eastAsia="Helvetica Neue" w:hAnsi="Aptos" w:cs="Helvetica Neue"/>
          <w:b/>
          <w:bCs/>
          <w:caps/>
          <w:color w:val="000000" w:themeColor="text1"/>
          <w:sz w:val="31"/>
          <w:szCs w:val="31"/>
        </w:rPr>
      </w:pPr>
      <w:r w:rsidRPr="00C26C56">
        <w:rPr>
          <w:rFonts w:ascii="Aptos" w:eastAsia="Helvetica Neue" w:hAnsi="Aptos" w:cs="Helvetica Neue"/>
          <w:b/>
          <w:bCs/>
          <w:caps/>
          <w:color w:val="000000" w:themeColor="text1"/>
          <w:sz w:val="31"/>
          <w:szCs w:val="31"/>
        </w:rPr>
        <w:t>IL WORLD MONUMENTS FUND IN ITALIA</w:t>
      </w:r>
      <w:r w:rsidRPr="00C26C56">
        <w:rPr>
          <w:rFonts w:ascii="Aptos" w:hAnsi="Aptos"/>
        </w:rPr>
        <w:br/>
      </w:r>
      <w:r w:rsidRPr="00C26C56">
        <w:rPr>
          <w:rFonts w:ascii="Aptos" w:eastAsia="Helvetica Neue" w:hAnsi="Aptos" w:cs="Helvetica Neue"/>
          <w:b/>
          <w:bCs/>
          <w:caps/>
          <w:color w:val="000000" w:themeColor="text1"/>
          <w:sz w:val="31"/>
          <w:szCs w:val="31"/>
        </w:rPr>
        <w:t>PANORAMICA</w:t>
      </w:r>
    </w:p>
    <w:p w14:paraId="58D5044A" w14:textId="77777777" w:rsidR="00DA76D3" w:rsidRPr="00C26C56" w:rsidRDefault="00DA76D3" w:rsidP="58E0EE24">
      <w:pPr>
        <w:jc w:val="center"/>
        <w:rPr>
          <w:rFonts w:ascii="Aptos" w:eastAsia="Helvetica Neue" w:hAnsi="Aptos" w:cs="Helvetica"/>
          <w:caps/>
          <w:color w:val="000000" w:themeColor="text1"/>
          <w:sz w:val="22"/>
          <w:szCs w:val="22"/>
        </w:rPr>
      </w:pPr>
    </w:p>
    <w:p w14:paraId="3967CFF0" w14:textId="77777777" w:rsidR="00DA76D3" w:rsidRPr="00C26C56" w:rsidRDefault="00DA76D3" w:rsidP="004D32A3">
      <w:pPr>
        <w:pStyle w:val="NormaleWeb"/>
        <w:numPr>
          <w:ilvl w:val="0"/>
          <w:numId w:val="9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Le origini del World Monuments Fund (WMF)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sono legate all'Italia più di quanto lo siano a qualsiasi altro Paese. Il fondatore, il colonnello James Gray, nutriva un amore profondo e straordinario per la penisola e i suoi monumenti.</w:t>
      </w:r>
    </w:p>
    <w:p w14:paraId="0CBE4906" w14:textId="77777777" w:rsidR="00DA76D3" w:rsidRPr="00C26C56" w:rsidRDefault="00DA76D3" w:rsidP="00DA76D3">
      <w:pPr>
        <w:pStyle w:val="NormaleWeb"/>
        <w:spacing w:before="0" w:beforeAutospacing="0" w:after="0" w:afterAutospacing="0"/>
        <w:ind w:left="720"/>
        <w:rPr>
          <w:rFonts w:ascii="Aptos" w:hAnsi="Aptos" w:cs="Helvetica"/>
          <w:color w:val="1F1F1F"/>
          <w:sz w:val="22"/>
          <w:szCs w:val="22"/>
        </w:rPr>
      </w:pPr>
    </w:p>
    <w:p w14:paraId="5EA10DEA" w14:textId="5DC1CA9F" w:rsidR="00DA76D3" w:rsidRPr="00C26C56" w:rsidRDefault="00DA76D3" w:rsidP="004D32A3">
      <w:pPr>
        <w:pStyle w:val="NormaleWeb"/>
        <w:numPr>
          <w:ilvl w:val="0"/>
          <w:numId w:val="9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Il col. Gray offrì le sue competenze ingegneristiche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per contribuire a stabilizzare la Torre di Pisa, prima di estendere l'attività a importanti interventi di emergenza a Venezia a seguito delle catastrofiche alluvioni del 1966 nel nord Italia.</w:t>
      </w:r>
    </w:p>
    <w:p w14:paraId="7A0C4492" w14:textId="77777777" w:rsidR="00DA76D3" w:rsidRPr="00C26C56" w:rsidRDefault="00DA76D3" w:rsidP="00DA76D3">
      <w:pPr>
        <w:pStyle w:val="Paragrafoelenco"/>
        <w:rPr>
          <w:rFonts w:ascii="Aptos" w:hAnsi="Aptos" w:cs="Helvetica"/>
          <w:color w:val="1F1F1F"/>
          <w:sz w:val="22"/>
          <w:szCs w:val="22"/>
          <w:lang w:val="it-IT"/>
        </w:rPr>
      </w:pPr>
    </w:p>
    <w:p w14:paraId="639FC124" w14:textId="77777777" w:rsidR="00DA76D3" w:rsidRPr="00C26C56" w:rsidRDefault="00DA76D3" w:rsidP="004D32A3">
      <w:pPr>
        <w:pStyle w:val="NormaleWeb"/>
        <w:numPr>
          <w:ilvl w:val="0"/>
          <w:numId w:val="9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Quel disastro mobilitò un sostegno internazionale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senza precedenti guidato dal WMF, consacrando l'organizzazione come il primo "soccorritore" globale per le emergenze del patrimonio culturale e ponendo le basi per decenni di lavori di conservazione in tutto il Paese.</w:t>
      </w:r>
    </w:p>
    <w:p w14:paraId="41CC5F8B" w14:textId="77777777" w:rsidR="00DA76D3" w:rsidRPr="00C26C56" w:rsidRDefault="00DA76D3" w:rsidP="00DA76D3">
      <w:pPr>
        <w:pStyle w:val="NormaleWeb"/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</w:p>
    <w:p w14:paraId="02C17AF1" w14:textId="77777777" w:rsidR="00DA76D3" w:rsidRPr="00C26C56" w:rsidRDefault="00DA76D3" w:rsidP="004D32A3">
      <w:pPr>
        <w:pStyle w:val="NormaleWeb"/>
        <w:numPr>
          <w:ilvl w:val="0"/>
          <w:numId w:val="9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Dagli anni '60 a oggi</w:t>
      </w:r>
      <w:r w:rsidRPr="00C26C56">
        <w:rPr>
          <w:rFonts w:ascii="Aptos" w:hAnsi="Aptos" w:cs="Helvetica"/>
          <w:color w:val="1F1F1F"/>
          <w:sz w:val="22"/>
          <w:szCs w:val="22"/>
        </w:rPr>
        <w:t>, il WMF ha completato circa 100 progetti in tutta Italia, inclusi siti archeologici, sinagoghe, cattedrali e paesaggi culturali in tutta la penisola.</w:t>
      </w:r>
    </w:p>
    <w:p w14:paraId="651DE4BB" w14:textId="77777777" w:rsidR="00DA76D3" w:rsidRPr="00C26C56" w:rsidRDefault="00DA76D3" w:rsidP="00DA76D3">
      <w:pPr>
        <w:pStyle w:val="Paragrafoelenco"/>
        <w:rPr>
          <w:rFonts w:ascii="Aptos" w:hAnsi="Aptos" w:cs="Helvetica"/>
          <w:color w:val="1F1F1F"/>
          <w:sz w:val="22"/>
          <w:szCs w:val="22"/>
        </w:rPr>
      </w:pPr>
    </w:p>
    <w:p w14:paraId="53962280" w14:textId="4411BF7D" w:rsidR="00DA76D3" w:rsidRPr="00C26C56" w:rsidRDefault="00DA76D3" w:rsidP="004D32A3">
      <w:pPr>
        <w:pStyle w:val="NormaleWeb"/>
        <w:numPr>
          <w:ilvl w:val="0"/>
          <w:numId w:val="9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Venezia è diventata il fulcro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del primo impegno a lungo termine del WMF, che ha visto anche la nascita del </w:t>
      </w:r>
      <w:r w:rsidRPr="00C26C56">
        <w:rPr>
          <w:rFonts w:ascii="Aptos" w:hAnsi="Aptos" w:cs="Helvetica"/>
          <w:i/>
          <w:iCs/>
          <w:color w:val="1F1F1F"/>
          <w:sz w:val="22"/>
          <w:szCs w:val="22"/>
          <w:bdr w:val="none" w:sz="0" w:space="0" w:color="auto" w:frame="1"/>
        </w:rPr>
        <w:t>Venice Committee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(Comitato per Venezia) all'indomani dell’alluvione del 1966; il comitato è rimasto attivo per un decennio, ampliando le opportunità di partecipazione locale alla tutela del patrimonio.</w:t>
      </w:r>
    </w:p>
    <w:p w14:paraId="087050D8" w14:textId="77777777" w:rsidR="00DA76D3" w:rsidRPr="00C26C56" w:rsidRDefault="00DA76D3" w:rsidP="00DA76D3">
      <w:pPr>
        <w:pStyle w:val="Paragrafoelenco"/>
        <w:rPr>
          <w:rFonts w:ascii="Aptos" w:hAnsi="Aptos" w:cs="Helvetica"/>
          <w:color w:val="1F1F1F"/>
          <w:sz w:val="22"/>
          <w:szCs w:val="22"/>
        </w:rPr>
      </w:pPr>
    </w:p>
    <w:p w14:paraId="41B6761F" w14:textId="77777777" w:rsidR="00DA76D3" w:rsidRPr="00C26C56" w:rsidRDefault="00DA76D3" w:rsidP="004D32A3">
      <w:pPr>
        <w:pStyle w:val="NormaleWeb"/>
        <w:numPr>
          <w:ilvl w:val="0"/>
          <w:numId w:val="9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La leadership del WMF a Venezia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ha abbracciato grandi restauri presso le Scuole Grandi, sinagoghe, chiese, monumenti ed edifici civici, oltre alla creazione di un laboratorio di conservazione architettonica, al sostegno per il Ghetto di Venezia e all'inclusione della città nel </w:t>
      </w:r>
      <w:r w:rsidRPr="00C26C56">
        <w:rPr>
          <w:rFonts w:ascii="Aptos" w:hAnsi="Aptos" w:cs="Helvetica"/>
          <w:i/>
          <w:iCs/>
          <w:color w:val="1F1F1F"/>
          <w:sz w:val="22"/>
          <w:szCs w:val="22"/>
          <w:bdr w:val="none" w:sz="0" w:space="0" w:color="auto" w:frame="1"/>
        </w:rPr>
        <w:t>World Monuments Watch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del 2014.</w:t>
      </w:r>
    </w:p>
    <w:p w14:paraId="68579B6F" w14:textId="77777777" w:rsidR="00DA76D3" w:rsidRPr="00C26C56" w:rsidRDefault="00DA76D3" w:rsidP="00DA76D3">
      <w:pPr>
        <w:pStyle w:val="NormaleWeb"/>
        <w:spacing w:before="0" w:beforeAutospacing="0" w:after="0" w:afterAutospacing="0"/>
        <w:ind w:left="720"/>
        <w:rPr>
          <w:rFonts w:ascii="Aptos" w:hAnsi="Aptos" w:cs="Helvetica"/>
          <w:color w:val="1F1F1F"/>
          <w:sz w:val="22"/>
          <w:szCs w:val="22"/>
        </w:rPr>
      </w:pPr>
    </w:p>
    <w:p w14:paraId="0FDE6A24" w14:textId="77777777" w:rsidR="00DA76D3" w:rsidRPr="00C26C56" w:rsidRDefault="00DA76D3" w:rsidP="004D32A3">
      <w:pPr>
        <w:pStyle w:val="NormaleWeb"/>
        <w:numPr>
          <w:ilvl w:val="0"/>
          <w:numId w:val="9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Il portfolio del WMF a Roma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include progetti emblematici fin dal 1985, tra cui spiccano la Galleria dei Carracci a Palazzo Farnese, i templi di Ercole e </w:t>
      </w:r>
      <w:proofErr w:type="spellStart"/>
      <w:r w:rsidRPr="00C26C56">
        <w:rPr>
          <w:rFonts w:ascii="Aptos" w:hAnsi="Aptos" w:cs="Helvetica"/>
          <w:color w:val="1F1F1F"/>
          <w:sz w:val="22"/>
          <w:szCs w:val="22"/>
        </w:rPr>
        <w:t>Portuno</w:t>
      </w:r>
      <w:proofErr w:type="spellEnd"/>
      <w:r w:rsidRPr="00C26C56">
        <w:rPr>
          <w:rFonts w:ascii="Aptos" w:hAnsi="Aptos" w:cs="Helvetica"/>
          <w:color w:val="1F1F1F"/>
          <w:sz w:val="22"/>
          <w:szCs w:val="22"/>
        </w:rPr>
        <w:t>, l'Arco di Giano, Santa Maria Antiqua e le Uccelliere Farnesiane — promuovendo la ricerca d'avanguardia, la diagnostica e la conservazione anche in altri quartieri storici.</w:t>
      </w:r>
    </w:p>
    <w:p w14:paraId="7FD9FCEF" w14:textId="77777777" w:rsidR="00DA76D3" w:rsidRPr="00C26C56" w:rsidRDefault="00DA76D3" w:rsidP="58E0EE24">
      <w:pPr>
        <w:jc w:val="center"/>
        <w:rPr>
          <w:rFonts w:ascii="Aptos" w:eastAsia="Helvetica Neue" w:hAnsi="Aptos" w:cs="Helvetica"/>
          <w:caps/>
          <w:color w:val="000000" w:themeColor="text1"/>
          <w:sz w:val="22"/>
          <w:szCs w:val="22"/>
          <w:lang w:val="it-IT"/>
        </w:rPr>
      </w:pPr>
    </w:p>
    <w:p w14:paraId="12304E34" w14:textId="77777777" w:rsidR="00DA76D3" w:rsidRPr="00C26C56" w:rsidRDefault="00DA76D3" w:rsidP="58E0EE24">
      <w:pPr>
        <w:jc w:val="center"/>
        <w:rPr>
          <w:rFonts w:ascii="Aptos" w:hAnsi="Aptos" w:cs="Helvetica"/>
          <w:sz w:val="22"/>
          <w:szCs w:val="22"/>
          <w:lang w:val="it-IT"/>
        </w:rPr>
      </w:pPr>
    </w:p>
    <w:p w14:paraId="4E14858A" w14:textId="2EC14E5C" w:rsidR="009B66F0" w:rsidRPr="00C26C56" w:rsidRDefault="009B66F0" w:rsidP="004D32A3">
      <w:pPr>
        <w:pStyle w:val="NormaleWeb"/>
        <w:numPr>
          <w:ilvl w:val="0"/>
          <w:numId w:val="10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lastRenderedPageBreak/>
        <w:t>Ad oggi, il WMF ha raccolto più di 23,5 milioni di dollari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per progetti in Italia. Questo traguardo è stato raggiunto in gran parte grazie al fondamentale sostegno della </w:t>
      </w:r>
      <w:r w:rsidRPr="00C26C56">
        <w:rPr>
          <w:rFonts w:ascii="Aptos" w:hAnsi="Aptos" w:cs="Helvetica"/>
          <w:i/>
          <w:iCs/>
          <w:color w:val="1F1F1F"/>
          <w:sz w:val="22"/>
          <w:szCs w:val="22"/>
          <w:bdr w:val="none" w:sz="0" w:space="0" w:color="auto" w:frame="1"/>
        </w:rPr>
        <w:t xml:space="preserve">The Robert W. Wilson Challenge to Conserve </w:t>
      </w:r>
      <w:proofErr w:type="spellStart"/>
      <w:r w:rsidRPr="00C26C56">
        <w:rPr>
          <w:rFonts w:ascii="Aptos" w:hAnsi="Aptos" w:cs="Helvetica"/>
          <w:i/>
          <w:iCs/>
          <w:color w:val="1F1F1F"/>
          <w:sz w:val="22"/>
          <w:szCs w:val="22"/>
          <w:bdr w:val="none" w:sz="0" w:space="0" w:color="auto" w:frame="1"/>
        </w:rPr>
        <w:t>Our</w:t>
      </w:r>
      <w:proofErr w:type="spellEnd"/>
      <w:r w:rsidRPr="00C26C56">
        <w:rPr>
          <w:rFonts w:ascii="Aptos" w:hAnsi="Aptos" w:cs="Helvetica"/>
          <w:i/>
          <w:iCs/>
          <w:color w:val="1F1F1F"/>
          <w:sz w:val="22"/>
          <w:szCs w:val="22"/>
          <w:bdr w:val="none" w:sz="0" w:space="0" w:color="auto" w:frame="1"/>
        </w:rPr>
        <w:t xml:space="preserve"> Heritage</w:t>
      </w:r>
      <w:r w:rsidRPr="00C26C56">
        <w:rPr>
          <w:rFonts w:ascii="Aptos" w:hAnsi="Aptos" w:cs="Helvetica"/>
          <w:color w:val="1F1F1F"/>
          <w:sz w:val="22"/>
          <w:szCs w:val="22"/>
        </w:rPr>
        <w:t>, che da sola ha contribuito con oltre 10 milioni di dollari e ha permesso di mobilitare altri 14 milioni di dollari in fondi di cofinanziamento, inclusi oltre 6 milioni di dollari stanziati dal Ministero della Cultura italiano.</w:t>
      </w:r>
    </w:p>
    <w:p w14:paraId="038F30D4" w14:textId="77777777" w:rsidR="009B66F0" w:rsidRPr="00C26C56" w:rsidRDefault="009B66F0" w:rsidP="009B66F0">
      <w:pPr>
        <w:pStyle w:val="NormaleWeb"/>
        <w:spacing w:before="0" w:beforeAutospacing="0" w:after="0" w:afterAutospacing="0"/>
        <w:ind w:left="720"/>
        <w:rPr>
          <w:rFonts w:ascii="Aptos" w:hAnsi="Aptos" w:cs="Helvetica"/>
          <w:color w:val="1F1F1F"/>
          <w:sz w:val="22"/>
          <w:szCs w:val="22"/>
        </w:rPr>
      </w:pPr>
    </w:p>
    <w:p w14:paraId="0453D8AD" w14:textId="77777777" w:rsidR="009B66F0" w:rsidRPr="00C26C56" w:rsidRDefault="009B66F0" w:rsidP="004D32A3">
      <w:pPr>
        <w:pStyle w:val="NormaleWeb"/>
        <w:numPr>
          <w:ilvl w:val="0"/>
          <w:numId w:val="10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Il pluriennale impegno del WMF in Italia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è stato riconosciuto anche attraverso l'</w:t>
      </w:r>
      <w:r w:rsidRPr="00C26C56">
        <w:rPr>
          <w:rFonts w:ascii="Aptos" w:hAnsi="Aptos" w:cs="Helvetica"/>
          <w:i/>
          <w:iCs/>
          <w:color w:val="1F1F1F"/>
          <w:sz w:val="22"/>
          <w:szCs w:val="22"/>
          <w:bdr w:val="none" w:sz="0" w:space="0" w:color="auto" w:frame="1"/>
        </w:rPr>
        <w:t>Hadrian Award</w:t>
      </w:r>
      <w:r w:rsidRPr="00C26C56">
        <w:rPr>
          <w:rFonts w:ascii="Aptos" w:hAnsi="Aptos" w:cs="Helvetica"/>
          <w:color w:val="1F1F1F"/>
          <w:sz w:val="22"/>
          <w:szCs w:val="22"/>
        </w:rPr>
        <w:t>, un premio che ha reso omaggio a grandi figure della cultura e dell'imprenditoria italiana come Carlo De Benedetti e Marella e Giovanni Agnelli. Questa dedizione continua ancora oggi, con il WMF impegnato a esplorare nuove opportunità per rinnovare e ampliare la propria presenza nel Paese.</w:t>
      </w:r>
    </w:p>
    <w:p w14:paraId="6AD521A7" w14:textId="0737E24D" w:rsidR="3A7A939F" w:rsidRPr="00C26C56" w:rsidRDefault="3A7A939F" w:rsidP="00DA76D3">
      <w:pPr>
        <w:pStyle w:val="Paragrafoelenco"/>
        <w:spacing w:after="0" w:line="300" w:lineRule="auto"/>
        <w:rPr>
          <w:rFonts w:ascii="Aptos" w:eastAsia="Arial" w:hAnsi="Aptos" w:cs="Helvetica"/>
          <w:sz w:val="22"/>
          <w:szCs w:val="22"/>
          <w:lang w:val="it-IT"/>
        </w:rPr>
      </w:pPr>
    </w:p>
    <w:p w14:paraId="1C002CD4" w14:textId="5CD2E26F" w:rsidR="4E6471DD" w:rsidRPr="00C26C56" w:rsidRDefault="4E6471DD" w:rsidP="58E0EE24">
      <w:pPr>
        <w:spacing w:after="0" w:line="300" w:lineRule="auto"/>
        <w:jc w:val="center"/>
        <w:rPr>
          <w:rFonts w:ascii="Aptos" w:eastAsia="Helvetica Neue" w:hAnsi="Aptos" w:cs="Helvetica"/>
          <w:caps/>
          <w:color w:val="000000" w:themeColor="text1"/>
          <w:sz w:val="22"/>
          <w:szCs w:val="22"/>
          <w:lang w:val="it-IT"/>
        </w:rPr>
      </w:pPr>
      <w:r w:rsidRPr="00C26C56">
        <w:rPr>
          <w:rFonts w:ascii="Aptos" w:eastAsia="Helvetica Neue" w:hAnsi="Aptos" w:cs="Helvetica"/>
          <w:caps/>
          <w:color w:val="000000" w:themeColor="text1"/>
          <w:sz w:val="22"/>
          <w:szCs w:val="22"/>
          <w:lang w:val="it-IT"/>
        </w:rPr>
        <w:t>PROGETTI ATTIVI</w:t>
      </w:r>
    </w:p>
    <w:p w14:paraId="600216DC" w14:textId="7003BA23" w:rsidR="005869AE" w:rsidRPr="00C26C56" w:rsidRDefault="009B66F0" w:rsidP="58E0EE24">
      <w:pPr>
        <w:spacing w:after="0" w:line="300" w:lineRule="auto"/>
        <w:jc w:val="center"/>
        <w:rPr>
          <w:rFonts w:ascii="Aptos" w:eastAsia="Helvetica Neue" w:hAnsi="Aptos" w:cs="Helvetica"/>
          <w:caps/>
          <w:color w:val="000000" w:themeColor="text1"/>
          <w:sz w:val="22"/>
          <w:szCs w:val="22"/>
          <w:lang w:val="it-IT"/>
        </w:rPr>
      </w:pPr>
      <w:r w:rsidRPr="00C26C56">
        <w:rPr>
          <w:rFonts w:ascii="Aptos" w:hAnsi="Aptos" w:cs="Helvetica"/>
          <w:caps/>
          <w:color w:val="000000" w:themeColor="text1"/>
          <w:sz w:val="22"/>
          <w:szCs w:val="22"/>
          <w:lang w:val="it-IT"/>
        </w:rPr>
        <w:t xml:space="preserve">IL SALONE </w:t>
      </w:r>
      <w:r w:rsidR="4E6471DD" w:rsidRPr="00C26C56">
        <w:rPr>
          <w:rFonts w:ascii="Aptos" w:hAnsi="Aptos" w:cs="Helvetica"/>
          <w:caps/>
          <w:color w:val="000000" w:themeColor="text1"/>
          <w:sz w:val="22"/>
          <w:szCs w:val="22"/>
          <w:lang w:val="it-IT"/>
        </w:rPr>
        <w:t>DORAT</w:t>
      </w:r>
      <w:r w:rsidRPr="00C26C56">
        <w:rPr>
          <w:rFonts w:ascii="Aptos" w:hAnsi="Aptos" w:cs="Helvetica"/>
          <w:caps/>
          <w:color w:val="000000" w:themeColor="text1"/>
          <w:sz w:val="22"/>
          <w:szCs w:val="22"/>
          <w:lang w:val="it-IT"/>
        </w:rPr>
        <w:t>O</w:t>
      </w:r>
      <w:r w:rsidR="4E6471DD" w:rsidRPr="00C26C56">
        <w:rPr>
          <w:rFonts w:ascii="Aptos" w:hAnsi="Aptos" w:cs="Helvetica"/>
          <w:caps/>
          <w:color w:val="000000" w:themeColor="text1"/>
          <w:sz w:val="22"/>
          <w:szCs w:val="22"/>
          <w:lang w:val="it-IT"/>
        </w:rPr>
        <w:t xml:space="preserve"> DEL MUSEO POLDI PEZZOLI</w:t>
      </w:r>
    </w:p>
    <w:p w14:paraId="34FAB452" w14:textId="6C49C5D2" w:rsidR="005869AE" w:rsidRPr="00C26C56" w:rsidRDefault="4E6471DD" w:rsidP="58E0EE24">
      <w:pPr>
        <w:spacing w:after="0" w:line="300" w:lineRule="auto"/>
        <w:jc w:val="center"/>
        <w:rPr>
          <w:rFonts w:ascii="Aptos" w:eastAsia="Helvetica Neue" w:hAnsi="Aptos" w:cs="Helvetica"/>
          <w:caps/>
          <w:color w:val="000000" w:themeColor="text1"/>
          <w:sz w:val="22"/>
          <w:szCs w:val="22"/>
          <w:lang w:val="it-IT"/>
        </w:rPr>
      </w:pPr>
      <w:r w:rsidRPr="00C26C56">
        <w:rPr>
          <w:rFonts w:ascii="Aptos" w:hAnsi="Aptos" w:cs="Helvetica"/>
          <w:caps/>
          <w:color w:val="000000" w:themeColor="text1"/>
          <w:sz w:val="22"/>
          <w:szCs w:val="22"/>
          <w:lang w:val="it-IT"/>
        </w:rPr>
        <w:t>MILANO, ITALIA</w:t>
      </w:r>
      <w:r w:rsidR="00897783" w:rsidRPr="00C26C56">
        <w:rPr>
          <w:rFonts w:ascii="Aptos" w:hAnsi="Aptos" w:cs="Helvetica"/>
          <w:sz w:val="22"/>
          <w:szCs w:val="22"/>
          <w:lang w:val="it-IT"/>
        </w:rPr>
        <w:br/>
      </w:r>
      <w:r w:rsidR="04EA8FB8" w:rsidRPr="00C26C56">
        <w:rPr>
          <w:rFonts w:ascii="Aptos" w:hAnsi="Aptos" w:cs="Helvetica"/>
          <w:i/>
          <w:iCs/>
          <w:color w:val="000000" w:themeColor="text1"/>
          <w:sz w:val="22"/>
          <w:szCs w:val="22"/>
          <w:lang w:val="it-IT"/>
        </w:rPr>
        <w:t>Data di inizio progetto</w:t>
      </w:r>
      <w:r w:rsidR="4BEA43A5" w:rsidRPr="00C26C56">
        <w:rPr>
          <w:rFonts w:ascii="Aptos" w:eastAsia="Helvetica Neue" w:hAnsi="Aptos" w:cs="Helvetica"/>
          <w:i/>
          <w:iCs/>
          <w:color w:val="000000" w:themeColor="text1"/>
          <w:sz w:val="22"/>
          <w:szCs w:val="22"/>
          <w:lang w:val="it-IT"/>
        </w:rPr>
        <w:t>: 2026</w:t>
      </w:r>
    </w:p>
    <w:p w14:paraId="10E47413" w14:textId="77777777" w:rsidR="005869AE" w:rsidRPr="00C26C56" w:rsidRDefault="005869AE" w:rsidP="005869AE">
      <w:pPr>
        <w:spacing w:after="0" w:line="300" w:lineRule="auto"/>
        <w:rPr>
          <w:rFonts w:ascii="Aptos" w:eastAsia="Helvetica Neue" w:hAnsi="Aptos" w:cs="Helvetica"/>
          <w:color w:val="000000" w:themeColor="text1"/>
          <w:sz w:val="22"/>
          <w:szCs w:val="22"/>
          <w:lang w:val="it-IT"/>
        </w:rPr>
      </w:pPr>
    </w:p>
    <w:p w14:paraId="7B3E9FC3" w14:textId="77777777" w:rsidR="009B66F0" w:rsidRPr="00C26C56" w:rsidRDefault="009B66F0" w:rsidP="004D32A3">
      <w:pPr>
        <w:pStyle w:val="NormaleWeb"/>
        <w:numPr>
          <w:ilvl w:val="0"/>
          <w:numId w:val="11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Il Museo Poldi Pezzoli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è una delle case museo storiche più importanti d'Europa ed è stato fondamentale per la moderna pratica museografica fin dalla sua apertura al pubblico nel 1881.</w:t>
      </w:r>
    </w:p>
    <w:p w14:paraId="2C83EA36" w14:textId="7658EB98" w:rsidR="009B66F0" w:rsidRPr="00C26C56" w:rsidRDefault="009B66F0" w:rsidP="004D32A3">
      <w:pPr>
        <w:pStyle w:val="NormaleWeb"/>
        <w:numPr>
          <w:ilvl w:val="0"/>
          <w:numId w:val="11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Concepito negli anni '70 dell'Ottocento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dal collezionista e patriota Gian Giacomo Poldi Pezzoli, il museo è stato un pioniere del concetto di </w:t>
      </w:r>
      <w:proofErr w:type="spellStart"/>
      <w:r w:rsidRPr="00C26C56">
        <w:rPr>
          <w:rFonts w:ascii="Aptos" w:hAnsi="Aptos" w:cs="Helvetica"/>
          <w:i/>
          <w:iCs/>
          <w:color w:val="1F1F1F"/>
          <w:sz w:val="22"/>
          <w:szCs w:val="22"/>
          <w:bdr w:val="none" w:sz="0" w:space="0" w:color="auto" w:frame="1"/>
        </w:rPr>
        <w:t>period</w:t>
      </w:r>
      <w:proofErr w:type="spellEnd"/>
      <w:r w:rsidRPr="00C26C56">
        <w:rPr>
          <w:rFonts w:ascii="Aptos" w:hAnsi="Aptos" w:cs="Helvetica"/>
          <w:i/>
          <w:iCs/>
          <w:color w:val="1F1F1F"/>
          <w:sz w:val="22"/>
          <w:szCs w:val="22"/>
          <w:bdr w:val="none" w:sz="0" w:space="0" w:color="auto" w:frame="1"/>
        </w:rPr>
        <w:t xml:space="preserve"> room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(stanza d'epoca), che in seguito ha influenzato istituzioni come l'Isabella Stewart Gardner Museum di Boston e la Frick Collection di New York.</w:t>
      </w:r>
    </w:p>
    <w:p w14:paraId="5BBCE285" w14:textId="625C5B6D" w:rsidR="009B66F0" w:rsidRPr="00C26C56" w:rsidRDefault="009B66F0" w:rsidP="004D32A3">
      <w:pPr>
        <w:pStyle w:val="NormaleWeb"/>
        <w:numPr>
          <w:ilvl w:val="0"/>
          <w:numId w:val="11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 xml:space="preserve">Il fulcro del museo era il </w:t>
      </w:r>
      <w:r w:rsidR="007E38CF" w:rsidRPr="007E38CF">
        <w:rPr>
          <w:rFonts w:ascii="Aptos" w:hAnsi="Aptos" w:cs="Helvetica"/>
          <w:color w:val="1F1F1F"/>
          <w:sz w:val="22"/>
          <w:szCs w:val="22"/>
          <w:highlight w:val="yellow"/>
          <w:bdr w:val="none" w:sz="0" w:space="0" w:color="auto" w:frame="1"/>
        </w:rPr>
        <w:t>S</w:t>
      </w: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alone dorato</w:t>
      </w:r>
      <w:r w:rsidRPr="00C26C56">
        <w:rPr>
          <w:rFonts w:ascii="Aptos" w:hAnsi="Aptos" w:cs="Helvetica"/>
          <w:color w:val="1F1F1F"/>
          <w:sz w:val="22"/>
          <w:szCs w:val="22"/>
        </w:rPr>
        <w:t>, concepito come un ambiente architettonico, spaziale e artistico completamente unitario per esporre i capolavori del Rinascimento nella loro ideale cornice storica.</w:t>
      </w:r>
    </w:p>
    <w:p w14:paraId="784AFE66" w14:textId="2604BB8A" w:rsidR="009B66F0" w:rsidRPr="00C26C56" w:rsidRDefault="009B66F0" w:rsidP="004D32A3">
      <w:pPr>
        <w:pStyle w:val="NormaleWeb"/>
        <w:numPr>
          <w:ilvl w:val="0"/>
          <w:numId w:val="11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Caratterizzato da un soffitto a cassettoni dorato</w:t>
      </w:r>
      <w:r w:rsidRPr="00C26C56">
        <w:rPr>
          <w:rFonts w:ascii="Aptos" w:hAnsi="Aptos" w:cs="Helvetica"/>
          <w:color w:val="1F1F1F"/>
          <w:sz w:val="22"/>
          <w:szCs w:val="22"/>
        </w:rPr>
        <w:t>, pareti in damasco di seta, una monumentale serliana, arazzi e dipinti esposti su cavalletti d'epoca, il salone rappresentava l'apice dell'innovazione museografica del XIX secolo.</w:t>
      </w:r>
    </w:p>
    <w:p w14:paraId="700E9972" w14:textId="40A1E652" w:rsidR="009B66F0" w:rsidRPr="00C26C56" w:rsidRDefault="009B66F0" w:rsidP="009B66F0">
      <w:pPr>
        <w:pStyle w:val="NormaleWeb"/>
        <w:spacing w:before="0" w:beforeAutospacing="0" w:after="150" w:afterAutospacing="0"/>
        <w:ind w:left="709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</w:rPr>
        <w:t>I bombardamenti alleati dell'agosto 1943 devastarono il museo, distruggendo il soffitto del Salone dorato, i rivestimenti delle pareti e l'intero apparato decorativo, mentre gli interventi del dopoguerra frammentarono ulteriormente lo spazio e ne offuscarono gli elementi superstiti.</w:t>
      </w:r>
    </w:p>
    <w:p w14:paraId="39B9F1D2" w14:textId="27ED0D10" w:rsidR="005869AE" w:rsidRPr="00C26C56" w:rsidRDefault="005869AE" w:rsidP="005869AE">
      <w:pPr>
        <w:spacing w:after="0" w:line="300" w:lineRule="auto"/>
        <w:rPr>
          <w:rFonts w:ascii="Aptos" w:hAnsi="Aptos" w:cs="Helvetica"/>
          <w:sz w:val="22"/>
          <w:szCs w:val="22"/>
          <w:lang w:val="it-IT"/>
        </w:rPr>
      </w:pPr>
    </w:p>
    <w:p w14:paraId="355C7D1D" w14:textId="599BAEF2" w:rsidR="005F644F" w:rsidRPr="00C26C56" w:rsidRDefault="005F644F" w:rsidP="58E0EE24">
      <w:pPr>
        <w:spacing w:after="0" w:line="300" w:lineRule="auto"/>
        <w:rPr>
          <w:rFonts w:ascii="Aptos" w:hAnsi="Aptos" w:cs="Helvetica"/>
          <w:color w:val="000000" w:themeColor="text1"/>
          <w:sz w:val="22"/>
          <w:szCs w:val="22"/>
          <w:lang w:val="it-IT"/>
        </w:rPr>
      </w:pPr>
    </w:p>
    <w:p w14:paraId="3917718E" w14:textId="7F3289FF" w:rsidR="27D42F1A" w:rsidRPr="007F754C" w:rsidRDefault="27D42F1A" w:rsidP="002410CB">
      <w:pPr>
        <w:spacing w:after="0" w:line="300" w:lineRule="auto"/>
        <w:jc w:val="center"/>
        <w:rPr>
          <w:rFonts w:ascii="Aptos" w:hAnsi="Aptos" w:cs="Helvetica"/>
          <w:b/>
          <w:bCs/>
          <w:color w:val="000000" w:themeColor="text1"/>
          <w:sz w:val="28"/>
          <w:szCs w:val="28"/>
        </w:rPr>
      </w:pPr>
      <w:r w:rsidRPr="007F754C">
        <w:rPr>
          <w:rFonts w:ascii="Aptos" w:hAnsi="Aptos" w:cs="Helvetica"/>
          <w:b/>
          <w:bCs/>
          <w:color w:val="000000" w:themeColor="text1"/>
          <w:sz w:val="28"/>
          <w:szCs w:val="28"/>
        </w:rPr>
        <w:t>COINVOLGIMENTO DEL WMF</w:t>
      </w:r>
    </w:p>
    <w:p w14:paraId="0361D3B4" w14:textId="77777777" w:rsidR="002410CB" w:rsidRPr="002410CB" w:rsidRDefault="002410CB" w:rsidP="002410CB">
      <w:pPr>
        <w:spacing w:after="0" w:line="300" w:lineRule="auto"/>
        <w:jc w:val="center"/>
        <w:rPr>
          <w:rFonts w:ascii="Aptos" w:hAnsi="Aptos" w:cs="Helvetica"/>
          <w:b/>
          <w:bCs/>
          <w:color w:val="000000" w:themeColor="text1"/>
        </w:rPr>
      </w:pPr>
    </w:p>
    <w:p w14:paraId="2B52398E" w14:textId="12EA8108" w:rsidR="009B66F0" w:rsidRPr="00C26C56" w:rsidRDefault="009B66F0" w:rsidP="004D32A3">
      <w:pPr>
        <w:pStyle w:val="NormaleWeb"/>
        <w:numPr>
          <w:ilvl w:val="0"/>
          <w:numId w:val="12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Il World Monuments Fund sta collaborando con il Museo Poldi Pezzoli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per far rinascere il Salone dorato, ripristinando le sue proporzioni originali, l'unità architettonica e l'intento artistico originario.</w:t>
      </w:r>
    </w:p>
    <w:p w14:paraId="0C76B9BB" w14:textId="0AB327E3" w:rsidR="009B66F0" w:rsidRDefault="009B66F0" w:rsidP="004D32A3">
      <w:pPr>
        <w:pStyle w:val="NormaleWeb"/>
        <w:numPr>
          <w:ilvl w:val="0"/>
          <w:numId w:val="12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lastRenderedPageBreak/>
        <w:t>Recenti indagini hanno rivelato</w:t>
      </w:r>
      <w:r w:rsidRPr="00C26C56">
        <w:rPr>
          <w:rFonts w:ascii="Aptos" w:hAnsi="Aptos" w:cs="Helvetica"/>
          <w:color w:val="1F1F1F"/>
          <w:sz w:val="22"/>
          <w:szCs w:val="22"/>
        </w:rPr>
        <w:t xml:space="preserve"> che l'arco marmoreo originale della finestra del Salone, progettato da Lodovico Pogliaghi con elementi in bronzo di Giuseppe Speluzzi, è rimasto intatto al di sotto di un soffitto inserito in epoca successiva</w:t>
      </w:r>
      <w:r w:rsidR="007E38CF">
        <w:rPr>
          <w:rFonts w:ascii="Aptos" w:hAnsi="Aptos" w:cs="Helvetica"/>
          <w:color w:val="1F1F1F"/>
          <w:sz w:val="22"/>
          <w:szCs w:val="22"/>
        </w:rPr>
        <w:t>.</w:t>
      </w:r>
    </w:p>
    <w:p w14:paraId="6C534B47" w14:textId="5B491744" w:rsidR="007E38CF" w:rsidRPr="007E38CF" w:rsidRDefault="007E38CF" w:rsidP="007E38CF">
      <w:pPr>
        <w:pStyle w:val="NormaleWeb"/>
        <w:numPr>
          <w:ilvl w:val="0"/>
          <w:numId w:val="12"/>
        </w:numPr>
        <w:jc w:val="both"/>
        <w:rPr>
          <w:rFonts w:ascii="Bodoni 72 Book" w:hAnsi="Bodoni 72 Book"/>
          <w:highlight w:val="yellow"/>
        </w:rPr>
      </w:pPr>
      <w:r w:rsidRPr="007E38CF">
        <w:rPr>
          <w:rFonts w:ascii="Bodoni 72 Book" w:hAnsi="Bodoni 72 Book"/>
          <w:highlight w:val="yellow"/>
        </w:rPr>
        <w:t>Il progetto</w:t>
      </w:r>
      <w:r w:rsidRPr="007E38CF">
        <w:rPr>
          <w:rFonts w:ascii="Bodoni 72 Book" w:hAnsi="Bodoni 72 Book"/>
          <w:highlight w:val="yellow"/>
        </w:rPr>
        <w:t xml:space="preserve"> </w:t>
      </w:r>
      <w:r w:rsidRPr="007E38CF">
        <w:rPr>
          <w:rFonts w:ascii="Bodoni 72 Book" w:hAnsi="Bodoni 72 Book"/>
          <w:highlight w:val="yellow"/>
        </w:rPr>
        <w:t xml:space="preserve">propone </w:t>
      </w:r>
      <w:r w:rsidRPr="007E38CF">
        <w:rPr>
          <w:rFonts w:ascii="Bodoni 72 Book" w:hAnsi="Bodoni 72 Book"/>
          <w:highlight w:val="yellow"/>
        </w:rPr>
        <w:t xml:space="preserve">quindi </w:t>
      </w:r>
      <w:r w:rsidRPr="007E38CF">
        <w:rPr>
          <w:rFonts w:ascii="Bodoni 72 Book" w:hAnsi="Bodoni 72 Book"/>
          <w:highlight w:val="yellow"/>
        </w:rPr>
        <w:t>una serie di interventi volti a ripristinare la volumetria originaria del Salone e dare risalto alla serliana, ripristinando l</w:t>
      </w:r>
      <w:r w:rsidRPr="007E38CF">
        <w:rPr>
          <w:rFonts w:ascii="Bodoni 72 Book" w:hAnsi="Bodoni 72 Book"/>
          <w:highlight w:val="yellow"/>
        </w:rPr>
        <w:t>’</w:t>
      </w:r>
      <w:r w:rsidRPr="007E38CF">
        <w:rPr>
          <w:rFonts w:ascii="Bodoni 72 Book" w:hAnsi="Bodoni 72 Book"/>
          <w:highlight w:val="yellow"/>
        </w:rPr>
        <w:t>architettura</w:t>
      </w:r>
      <w:r w:rsidRPr="007E38CF">
        <w:rPr>
          <w:rFonts w:ascii="Bodoni 72 Book" w:hAnsi="Bodoni 72 Book"/>
          <w:highlight w:val="yellow"/>
        </w:rPr>
        <w:t xml:space="preserve"> originaria della sala</w:t>
      </w:r>
      <w:r w:rsidRPr="007E38CF">
        <w:rPr>
          <w:rFonts w:ascii="Bodoni 72 Book" w:hAnsi="Bodoni 72 Book"/>
          <w:highlight w:val="yellow"/>
        </w:rPr>
        <w:t>.</w:t>
      </w:r>
    </w:p>
    <w:p w14:paraId="2295680A" w14:textId="77777777" w:rsidR="007E38CF" w:rsidRPr="00C26C56" w:rsidRDefault="007E38CF" w:rsidP="007E38CF">
      <w:pPr>
        <w:pStyle w:val="NormaleWeb"/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</w:p>
    <w:p w14:paraId="41BFF6CD" w14:textId="1C6F39B6" w:rsidR="009B66F0" w:rsidRPr="007E38CF" w:rsidRDefault="009B66F0" w:rsidP="004D32A3">
      <w:pPr>
        <w:pStyle w:val="NormaleWeb"/>
        <w:numPr>
          <w:ilvl w:val="0"/>
          <w:numId w:val="12"/>
        </w:numPr>
        <w:spacing w:before="0" w:beforeAutospacing="0" w:after="0" w:afterAutospacing="0"/>
        <w:rPr>
          <w:rFonts w:ascii="Aptos" w:hAnsi="Aptos" w:cs="Helvetica"/>
          <w:strike/>
          <w:color w:val="1F1F1F"/>
          <w:sz w:val="22"/>
          <w:szCs w:val="22"/>
        </w:rPr>
      </w:pPr>
      <w:r w:rsidRPr="007E38CF">
        <w:rPr>
          <w:rFonts w:ascii="Aptos" w:hAnsi="Aptos" w:cs="Helvetica"/>
          <w:strike/>
          <w:color w:val="1F1F1F"/>
          <w:sz w:val="22"/>
          <w:szCs w:val="22"/>
          <w:bdr w:val="none" w:sz="0" w:space="0" w:color="auto" w:frame="1"/>
        </w:rPr>
        <w:t>Il progetto prevede la rimozione del soffitto del 1974</w:t>
      </w:r>
      <w:r w:rsidRPr="007E38CF">
        <w:rPr>
          <w:rFonts w:ascii="Aptos" w:hAnsi="Aptos" w:cs="Helvetica"/>
          <w:strike/>
          <w:color w:val="1F1F1F"/>
          <w:sz w:val="22"/>
          <w:szCs w:val="22"/>
        </w:rPr>
        <w:t xml:space="preserve">, svelando gli elementi architettonici celati e ricongiungendo, per la prima volta dalla </w:t>
      </w:r>
      <w:r w:rsidR="00366625" w:rsidRPr="007E38CF">
        <w:rPr>
          <w:rFonts w:ascii="Aptos" w:hAnsi="Aptos" w:cs="Helvetica"/>
          <w:strike/>
          <w:color w:val="1F1F1F"/>
          <w:sz w:val="22"/>
          <w:szCs w:val="22"/>
        </w:rPr>
        <w:t>Seconda guerra mondiale</w:t>
      </w:r>
      <w:r w:rsidRPr="007E38CF">
        <w:rPr>
          <w:rFonts w:ascii="Aptos" w:hAnsi="Aptos" w:cs="Helvetica"/>
          <w:strike/>
          <w:color w:val="1F1F1F"/>
          <w:sz w:val="22"/>
          <w:szCs w:val="22"/>
        </w:rPr>
        <w:t>, i pannelli rinascimentali del soffitto (andati dispersi) e gli arazzi storici nella loro collocazione originaria.</w:t>
      </w:r>
    </w:p>
    <w:p w14:paraId="7C6BF554" w14:textId="10784533" w:rsidR="009B66F0" w:rsidRPr="00C26C56" w:rsidRDefault="009B66F0" w:rsidP="004D32A3">
      <w:pPr>
        <w:pStyle w:val="NormaleWeb"/>
        <w:numPr>
          <w:ilvl w:val="0"/>
          <w:numId w:val="12"/>
        </w:numPr>
        <w:spacing w:before="0" w:beforeAutospacing="0" w:after="0" w:afterAutospacing="0"/>
        <w:rPr>
          <w:rFonts w:ascii="Aptos" w:hAnsi="Aptos" w:cs="Helvetica"/>
          <w:color w:val="1F1F1F"/>
          <w:sz w:val="22"/>
          <w:szCs w:val="22"/>
        </w:rPr>
      </w:pPr>
      <w:r w:rsidRPr="00C26C56">
        <w:rPr>
          <w:rFonts w:ascii="Aptos" w:hAnsi="Aptos" w:cs="Helvetica"/>
          <w:color w:val="1F1F1F"/>
          <w:sz w:val="22"/>
          <w:szCs w:val="22"/>
          <w:bdr w:val="none" w:sz="0" w:space="0" w:color="auto" w:frame="1"/>
        </w:rPr>
        <w:t>L'apparato didattico e interpretativo svolgerà un ruolo centrale</w:t>
      </w:r>
      <w:r w:rsidRPr="00C26C56">
        <w:rPr>
          <w:rFonts w:ascii="Aptos" w:hAnsi="Aptos" w:cs="Helvetica"/>
          <w:color w:val="1F1F1F"/>
          <w:sz w:val="22"/>
          <w:szCs w:val="22"/>
        </w:rPr>
        <w:t>, presentando la complessa storia del Salone dorato attraverso le fasi della sua creazione, della distruzione bellica e della reinterpretazione del dopoguerra, permettendo così ai visitatori di comprendere l'evoluzione delle filosofie di conservazione e di allestimento museale.</w:t>
      </w:r>
    </w:p>
    <w:p w14:paraId="1DA13AE8" w14:textId="77777777" w:rsidR="0008113A" w:rsidRPr="00C26C56" w:rsidRDefault="0008113A" w:rsidP="0008113A">
      <w:pPr>
        <w:pStyle w:val="Paragrafoelenco"/>
        <w:rPr>
          <w:rFonts w:ascii="Aptos" w:hAnsi="Aptos"/>
          <w:color w:val="000000" w:themeColor="text1"/>
          <w:sz w:val="22"/>
          <w:szCs w:val="22"/>
          <w:lang w:val="it-IT"/>
        </w:rPr>
      </w:pPr>
    </w:p>
    <w:p w14:paraId="0021DFA1" w14:textId="43CFE379" w:rsidR="27D42F1A" w:rsidRPr="00C26C56" w:rsidRDefault="27D42F1A" w:rsidP="58E0EE24">
      <w:pPr>
        <w:spacing w:after="0" w:line="300" w:lineRule="auto"/>
        <w:jc w:val="center"/>
        <w:rPr>
          <w:rFonts w:ascii="Aptos" w:eastAsia="Helvetica Neue" w:hAnsi="Aptos" w:cs="Helvetica Neue"/>
          <w:b/>
          <w:bCs/>
          <w:caps/>
          <w:color w:val="000000" w:themeColor="text1"/>
          <w:sz w:val="31"/>
          <w:szCs w:val="31"/>
          <w:lang w:val="it-IT"/>
        </w:rPr>
      </w:pPr>
      <w:r w:rsidRPr="00C26C56">
        <w:rPr>
          <w:rFonts w:ascii="Aptos" w:eastAsia="Helvetica Neue" w:hAnsi="Aptos" w:cs="Helvetica Neue"/>
          <w:b/>
          <w:bCs/>
          <w:caps/>
          <w:color w:val="000000" w:themeColor="text1"/>
          <w:sz w:val="31"/>
          <w:szCs w:val="31"/>
          <w:lang w:val="it-IT"/>
        </w:rPr>
        <w:t>PROGETTI PASSATI</w:t>
      </w:r>
    </w:p>
    <w:p w14:paraId="44D99AC4" w14:textId="77777777" w:rsidR="00D72033" w:rsidRPr="00C26C56" w:rsidRDefault="00D72033" w:rsidP="0008113A">
      <w:pPr>
        <w:spacing w:line="259" w:lineRule="auto"/>
        <w:rPr>
          <w:rFonts w:ascii="Aptos" w:hAnsi="Aptos"/>
          <w:lang w:val="it-IT"/>
        </w:rPr>
      </w:pPr>
    </w:p>
    <w:p w14:paraId="53817DE6" w14:textId="3B511F08" w:rsidR="0054100C" w:rsidRPr="00DA76D3" w:rsidRDefault="27D42F1A" w:rsidP="0054100C">
      <w:pPr>
        <w:spacing w:line="259" w:lineRule="auto"/>
        <w:jc w:val="center"/>
        <w:rPr>
          <w:rFonts w:ascii="Helvetica" w:eastAsia="Helvetica Neue" w:hAnsi="Helvetica" w:cs="Helvetica Neue"/>
          <w:caps/>
          <w:color w:val="000000" w:themeColor="text1"/>
          <w:sz w:val="31"/>
          <w:szCs w:val="31"/>
          <w:lang w:val="it-IT"/>
        </w:rPr>
      </w:pPr>
      <w:r w:rsidRPr="00DA76D3">
        <w:rPr>
          <w:b/>
          <w:bCs/>
          <w:caps/>
          <w:color w:val="000000" w:themeColor="text1"/>
          <w:sz w:val="31"/>
          <w:szCs w:val="31"/>
          <w:lang w:val="it-IT"/>
        </w:rPr>
        <w:t>Uccelliere Farnese</w:t>
      </w:r>
      <w:r w:rsidR="0054100C" w:rsidRPr="00DA76D3">
        <w:rPr>
          <w:lang w:val="it-IT"/>
        </w:rPr>
        <w:br/>
      </w:r>
      <w:r w:rsidRPr="00DA76D3">
        <w:rPr>
          <w:b/>
          <w:bCs/>
          <w:caps/>
          <w:color w:val="000000" w:themeColor="text1"/>
          <w:sz w:val="31"/>
          <w:szCs w:val="31"/>
          <w:lang w:val="it-IT"/>
        </w:rPr>
        <w:t>ROMA, Italia</w:t>
      </w:r>
      <w:r w:rsidR="0054100C" w:rsidRPr="00DA76D3">
        <w:rPr>
          <w:lang w:val="it-IT"/>
        </w:rPr>
        <w:br/>
      </w:r>
      <w:r w:rsidR="5128D216" w:rsidRPr="00DA76D3">
        <w:rPr>
          <w:i/>
          <w:iCs/>
          <w:color w:val="000000" w:themeColor="text1"/>
          <w:sz w:val="22"/>
          <w:szCs w:val="22"/>
          <w:lang w:val="it-IT"/>
        </w:rPr>
        <w:t>Durata del progetto:</w:t>
      </w:r>
      <w:r w:rsidR="0054100C" w:rsidRPr="00DA76D3">
        <w:rPr>
          <w:i/>
          <w:iCs/>
          <w:color w:val="000000" w:themeColor="text1"/>
          <w:sz w:val="22"/>
          <w:szCs w:val="22"/>
          <w:lang w:val="it-IT"/>
        </w:rPr>
        <w:t xml:space="preserve"> 2013 - 2018</w:t>
      </w:r>
    </w:p>
    <w:p w14:paraId="67925AC4" w14:textId="481DA1E8" w:rsidR="0054100C" w:rsidRPr="00DA76D3" w:rsidRDefault="17D91506" w:rsidP="004D32A3">
      <w:pPr>
        <w:pStyle w:val="Paragrafoelenco"/>
        <w:numPr>
          <w:ilvl w:val="0"/>
          <w:numId w:val="8"/>
        </w:numPr>
        <w:spacing w:line="259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A causa della prolungata mancanza di manutenzione, le superfici architettoniche versavano in uno stato di degrado molto avanzato. Le uccelliere furono inserite nel World Monuments Watch 2014, stimolando i lavori di restauro per combattere il grave stato di deterioramento.</w:t>
      </w:r>
      <w:r w:rsidR="0054100C" w:rsidRPr="00DA76D3">
        <w:rPr>
          <w:lang w:val="it-IT"/>
        </w:rPr>
        <w:br/>
      </w:r>
    </w:p>
    <w:p w14:paraId="6895106A" w14:textId="5C32C58C" w:rsidR="0054100C" w:rsidRDefault="17D91506" w:rsidP="004D32A3">
      <w:pPr>
        <w:pStyle w:val="Paragrafoelenco"/>
        <w:numPr>
          <w:ilvl w:val="0"/>
          <w:numId w:val="8"/>
        </w:numPr>
        <w:spacing w:before="240" w:after="240" w:line="259" w:lineRule="auto"/>
        <w:rPr>
          <w:color w:val="000000" w:themeColor="text1"/>
          <w:sz w:val="22"/>
          <w:szCs w:val="22"/>
          <w:lang w:val="it-IT"/>
        </w:rPr>
      </w:pPr>
      <w:r w:rsidRPr="58E0EE24">
        <w:rPr>
          <w:color w:val="000000" w:themeColor="text1"/>
          <w:sz w:val="22"/>
          <w:szCs w:val="22"/>
          <w:lang w:val="it-IT"/>
        </w:rPr>
        <w:t>Le ricerche storiche e i rilievi approfonditi sullo stato di conservazione delle uccelliere furono completati all'inizio del 2014, consentendo al team di conservazione di elaborare un piano di lavoro.</w:t>
      </w:r>
      <w:r w:rsidR="0054100C" w:rsidRPr="00DA76D3">
        <w:rPr>
          <w:lang w:val="it-IT"/>
        </w:rPr>
        <w:br/>
      </w:r>
    </w:p>
    <w:p w14:paraId="6216A419" w14:textId="65A7405F" w:rsidR="0054100C" w:rsidRPr="00DA76D3" w:rsidRDefault="17D91506" w:rsidP="004D32A3">
      <w:pPr>
        <w:pStyle w:val="Paragrafoelenco"/>
        <w:numPr>
          <w:ilvl w:val="0"/>
          <w:numId w:val="8"/>
        </w:numPr>
        <w:spacing w:before="240" w:after="240" w:line="259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 xml:space="preserve">Le priorità iniziali </w:t>
      </w:r>
      <w:r w:rsidR="009B66F0">
        <w:rPr>
          <w:color w:val="000000" w:themeColor="text1"/>
          <w:sz w:val="22"/>
          <w:szCs w:val="22"/>
          <w:lang w:val="it-IT"/>
        </w:rPr>
        <w:t>hanno previsto</w:t>
      </w:r>
      <w:r w:rsidRPr="00DA76D3">
        <w:rPr>
          <w:color w:val="000000" w:themeColor="text1"/>
          <w:sz w:val="22"/>
          <w:szCs w:val="22"/>
          <w:lang w:val="it-IT"/>
        </w:rPr>
        <w:t xml:space="preserve"> il risanamento esterno, il restauro di una delle scale che scendono dalla piazza e l'a</w:t>
      </w:r>
      <w:r w:rsidR="009B66F0">
        <w:rPr>
          <w:color w:val="000000" w:themeColor="text1"/>
          <w:sz w:val="22"/>
          <w:szCs w:val="22"/>
          <w:lang w:val="it-IT"/>
        </w:rPr>
        <w:t>mmodernamento</w:t>
      </w:r>
      <w:r w:rsidRPr="00DA76D3">
        <w:rPr>
          <w:color w:val="000000" w:themeColor="text1"/>
          <w:sz w:val="22"/>
          <w:szCs w:val="22"/>
          <w:lang w:val="it-IT"/>
        </w:rPr>
        <w:t xml:space="preserve"> del sistema di smaltimento delle acque.</w:t>
      </w:r>
      <w:r w:rsidR="0054100C" w:rsidRPr="00DA76D3">
        <w:rPr>
          <w:lang w:val="it-IT"/>
        </w:rPr>
        <w:br/>
      </w:r>
    </w:p>
    <w:p w14:paraId="1DF6F9CB" w14:textId="391B5A6D" w:rsidR="0054100C" w:rsidRPr="00DA76D3" w:rsidRDefault="17D91506" w:rsidP="004D32A3">
      <w:pPr>
        <w:pStyle w:val="Paragrafoelenco"/>
        <w:numPr>
          <w:ilvl w:val="0"/>
          <w:numId w:val="8"/>
        </w:numPr>
        <w:spacing w:line="259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Tra il 2013 e il 2018, il WMF e la Soprintendenza Speciale Archeologica di Roma (oggi Parco Archeologico del Colosseo) hanno collaborato al trattamento complessivo delle uccelliere, inclusi la valutazione e il restauro della facciata anteriore, il restauro degli interni e il restauro della fontana, nota come Teatro delle Fontane.</w:t>
      </w:r>
      <w:r w:rsidR="0054100C" w:rsidRPr="00DA76D3">
        <w:rPr>
          <w:lang w:val="it-IT"/>
        </w:rPr>
        <w:br/>
      </w:r>
    </w:p>
    <w:p w14:paraId="7C56ADA7" w14:textId="0D865473" w:rsidR="003104B3" w:rsidRPr="00DA76D3" w:rsidRDefault="5C03DF00" w:rsidP="58E0EE24">
      <w:pPr>
        <w:spacing w:line="259" w:lineRule="auto"/>
        <w:jc w:val="center"/>
        <w:rPr>
          <w:rFonts w:ascii="Helvetica" w:eastAsia="Helvetica Neue" w:hAnsi="Helvetica" w:cs="Helvetica Neue"/>
          <w:b/>
          <w:bCs/>
          <w:caps/>
          <w:color w:val="000000" w:themeColor="text1"/>
          <w:sz w:val="31"/>
          <w:szCs w:val="31"/>
          <w:lang w:val="it-IT"/>
        </w:rPr>
      </w:pPr>
      <w:r w:rsidRPr="00DA76D3">
        <w:rPr>
          <w:b/>
          <w:bCs/>
          <w:caps/>
          <w:color w:val="000000" w:themeColor="text1"/>
          <w:sz w:val="31"/>
          <w:szCs w:val="31"/>
          <w:lang w:val="it-IT"/>
        </w:rPr>
        <w:lastRenderedPageBreak/>
        <w:t>Arco di Giano</w:t>
      </w:r>
      <w:r w:rsidR="003104B3" w:rsidRPr="00DA76D3">
        <w:rPr>
          <w:lang w:val="it-IT"/>
        </w:rPr>
        <w:br/>
      </w:r>
      <w:r w:rsidRPr="00DA76D3">
        <w:rPr>
          <w:b/>
          <w:bCs/>
          <w:caps/>
          <w:color w:val="000000" w:themeColor="text1"/>
          <w:sz w:val="31"/>
          <w:szCs w:val="31"/>
          <w:lang w:val="it-IT"/>
        </w:rPr>
        <w:t>ROMA, ITALIA</w:t>
      </w:r>
      <w:r w:rsidR="003104B3" w:rsidRPr="00DA76D3">
        <w:rPr>
          <w:lang w:val="it-IT"/>
        </w:rPr>
        <w:br/>
      </w:r>
      <w:r w:rsidR="01240D4B" w:rsidRPr="00DA76D3">
        <w:rPr>
          <w:i/>
          <w:iCs/>
          <w:color w:val="000000" w:themeColor="text1"/>
          <w:sz w:val="22"/>
          <w:szCs w:val="22"/>
          <w:lang w:val="it-IT"/>
        </w:rPr>
        <w:t>Durata del progetto</w:t>
      </w:r>
      <w:r w:rsidR="003104B3" w:rsidRPr="00DA76D3">
        <w:rPr>
          <w:rFonts w:ascii="Helvetica" w:eastAsia="Helvetica Neue" w:hAnsi="Helvetica" w:cs="Helvetica Neue"/>
          <w:i/>
          <w:iCs/>
          <w:color w:val="000000" w:themeColor="text1"/>
          <w:sz w:val="22"/>
          <w:szCs w:val="22"/>
          <w:lang w:val="it-IT"/>
        </w:rPr>
        <w:t>: 2016 - 2017</w:t>
      </w:r>
    </w:p>
    <w:p w14:paraId="68A348FF" w14:textId="174A28B3" w:rsidR="005F644F" w:rsidRPr="00DA76D3" w:rsidRDefault="3C4F59BD" w:rsidP="004D32A3">
      <w:pPr>
        <w:pStyle w:val="Paragrafoelenco"/>
        <w:numPr>
          <w:ilvl w:val="0"/>
          <w:numId w:val="6"/>
        </w:numPr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L'Arco di Giano è stato incluso nel World Monuments Watch 2016 per evidenziare l'opportunità di valorizzare ulteriormente il Foro Boario attraverso il suo restauro.</w:t>
      </w:r>
      <w:r w:rsidR="005F644F" w:rsidRPr="00DA76D3">
        <w:rPr>
          <w:lang w:val="it-IT"/>
        </w:rPr>
        <w:br/>
      </w:r>
    </w:p>
    <w:p w14:paraId="02438B97" w14:textId="752BD1C9" w:rsidR="005F644F" w:rsidRPr="00DA76D3" w:rsidRDefault="3C4F59BD" w:rsidP="004D32A3">
      <w:pPr>
        <w:pStyle w:val="Paragrafoelenco"/>
        <w:numPr>
          <w:ilvl w:val="0"/>
          <w:numId w:val="6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Con il sostegno di American Express, il WMF ha collaborato con la Soprintendenza per il Colosseo e l'Area Archeologica Centrale per completare uno studio e realizzare il restauro completo dell'arco.</w:t>
      </w:r>
      <w:r w:rsidR="005F644F" w:rsidRPr="00DA76D3">
        <w:rPr>
          <w:lang w:val="it-IT"/>
        </w:rPr>
        <w:br/>
      </w:r>
    </w:p>
    <w:p w14:paraId="7F9C2B61" w14:textId="2276F6A4" w:rsidR="005F644F" w:rsidRPr="005F644F" w:rsidRDefault="3C4F59BD" w:rsidP="004D32A3">
      <w:pPr>
        <w:pStyle w:val="Paragrafoelenco"/>
        <w:numPr>
          <w:ilvl w:val="0"/>
          <w:numId w:val="6"/>
        </w:numPr>
        <w:rPr>
          <w:color w:val="000000" w:themeColor="text1"/>
          <w:sz w:val="22"/>
          <w:szCs w:val="22"/>
          <w:lang w:val="it-IT"/>
        </w:rPr>
      </w:pPr>
      <w:r w:rsidRPr="58E0EE24">
        <w:rPr>
          <w:color w:val="000000" w:themeColor="text1"/>
          <w:sz w:val="22"/>
          <w:szCs w:val="22"/>
          <w:lang w:val="it-IT"/>
        </w:rPr>
        <w:t>Il 26 maggio 2017, un evento Watch Day dedicato all'Arco di Giano ha messo in risalto l'insieme dei monumenti che compongono il Foro Boario, tra cui i Templi di Ercole e Portuno, precedentemente inclusi nel Watch e restaurati con il sostegno del WMF.</w:t>
      </w:r>
      <w:r w:rsidR="005F644F" w:rsidRPr="00DA76D3">
        <w:rPr>
          <w:lang w:val="it-IT"/>
        </w:rPr>
        <w:br/>
      </w:r>
    </w:p>
    <w:p w14:paraId="38B43BD5" w14:textId="4DFB0D65" w:rsidR="0008113A" w:rsidRPr="00DA76D3" w:rsidRDefault="3C4F59BD" w:rsidP="00D72033">
      <w:pPr>
        <w:spacing w:line="259" w:lineRule="auto"/>
        <w:jc w:val="center"/>
        <w:rPr>
          <w:rFonts w:ascii="Helvetica" w:eastAsia="Helvetica Neue" w:hAnsi="Helvetica" w:cs="Helvetica Neue"/>
          <w:b/>
          <w:bCs/>
          <w:caps/>
          <w:color w:val="000000" w:themeColor="text1"/>
          <w:sz w:val="31"/>
          <w:szCs w:val="31"/>
          <w:lang w:val="it-IT"/>
        </w:rPr>
      </w:pPr>
      <w:r w:rsidRPr="00DA76D3">
        <w:rPr>
          <w:b/>
          <w:bCs/>
          <w:caps/>
          <w:color w:val="000000" w:themeColor="text1"/>
          <w:sz w:val="31"/>
          <w:szCs w:val="31"/>
          <w:lang w:val="it-IT"/>
        </w:rPr>
        <w:t>Galleria Carracci a Palazzo Farnese</w:t>
      </w:r>
      <w:r w:rsidR="0008113A" w:rsidRPr="00DA76D3">
        <w:rPr>
          <w:lang w:val="it-IT"/>
        </w:rPr>
        <w:br/>
      </w:r>
      <w:r w:rsidRPr="00DA76D3">
        <w:rPr>
          <w:b/>
          <w:bCs/>
          <w:caps/>
          <w:color w:val="000000" w:themeColor="text1"/>
          <w:sz w:val="31"/>
          <w:szCs w:val="31"/>
          <w:lang w:val="it-IT"/>
        </w:rPr>
        <w:t>ROMA, ITALIA</w:t>
      </w:r>
      <w:r w:rsidR="0008113A" w:rsidRPr="00DA76D3">
        <w:rPr>
          <w:lang w:val="it-IT"/>
        </w:rPr>
        <w:br/>
      </w:r>
      <w:r w:rsidRPr="00DA76D3">
        <w:rPr>
          <w:rFonts w:ascii="Helvetica" w:eastAsia="Helvetica Neue" w:hAnsi="Helvetica" w:cs="Helvetica Neue"/>
          <w:i/>
          <w:iCs/>
          <w:color w:val="000000" w:themeColor="text1"/>
          <w:sz w:val="22"/>
          <w:szCs w:val="22"/>
          <w:lang w:val="it-IT"/>
        </w:rPr>
        <w:t>Durata del progetto</w:t>
      </w:r>
      <w:r w:rsidR="00D72033" w:rsidRPr="00DA76D3">
        <w:rPr>
          <w:rFonts w:ascii="Helvetica" w:eastAsia="Helvetica Neue" w:hAnsi="Helvetica" w:cs="Helvetica Neue"/>
          <w:i/>
          <w:iCs/>
          <w:color w:val="000000" w:themeColor="text1"/>
          <w:sz w:val="22"/>
          <w:szCs w:val="22"/>
          <w:lang w:val="it-IT"/>
        </w:rPr>
        <w:t xml:space="preserve">: </w:t>
      </w:r>
      <w:r w:rsidR="00F1475D" w:rsidRPr="00DA76D3">
        <w:rPr>
          <w:rFonts w:ascii="Helvetica" w:eastAsia="Helvetica Neue" w:hAnsi="Helvetica" w:cs="Helvetica Neue"/>
          <w:i/>
          <w:iCs/>
          <w:color w:val="000000" w:themeColor="text1"/>
          <w:sz w:val="22"/>
          <w:szCs w:val="22"/>
          <w:lang w:val="it-IT"/>
        </w:rPr>
        <w:t>2011 - 2015</w:t>
      </w:r>
    </w:p>
    <w:p w14:paraId="14F01ADC" w14:textId="6F9F2625" w:rsidR="003104B3" w:rsidRPr="00DA76D3" w:rsidRDefault="0D204E78" w:rsidP="004D32A3">
      <w:pPr>
        <w:pStyle w:val="Paragrafoelenco"/>
        <w:numPr>
          <w:ilvl w:val="0"/>
          <w:numId w:val="1"/>
        </w:numPr>
        <w:spacing w:after="0" w:line="300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Il restauro della galleria era necessario per garantire che i dipinti non si deteriorassero o subissero danni a causa di problemi strutturali al soffitto.</w:t>
      </w:r>
      <w:r w:rsidR="003104B3" w:rsidRPr="00DA76D3">
        <w:rPr>
          <w:lang w:val="it-IT"/>
        </w:rPr>
        <w:br/>
      </w:r>
    </w:p>
    <w:p w14:paraId="2BB5CEB2" w14:textId="3C7EB2F9" w:rsidR="003104B3" w:rsidRDefault="0D204E78" w:rsidP="004D32A3">
      <w:pPr>
        <w:pStyle w:val="Paragrafoelenco"/>
        <w:numPr>
          <w:ilvl w:val="0"/>
          <w:numId w:val="1"/>
        </w:numPr>
        <w:spacing w:before="240" w:after="240" w:line="300" w:lineRule="auto"/>
        <w:rPr>
          <w:color w:val="000000" w:themeColor="text1"/>
          <w:sz w:val="22"/>
          <w:szCs w:val="22"/>
          <w:lang w:val="it-IT"/>
        </w:rPr>
      </w:pPr>
      <w:r w:rsidRPr="58E0EE24">
        <w:rPr>
          <w:color w:val="000000" w:themeColor="text1"/>
          <w:sz w:val="22"/>
          <w:szCs w:val="22"/>
          <w:lang w:val="it-IT"/>
        </w:rPr>
        <w:t>La campagna del 1994, realizzata sotto la direzione del Service des Monuments historiques francese, raccolse informazioni sullo stato della volta che portarono ad alcune soluzioni proposte per i problemi di conservazione.</w:t>
      </w:r>
      <w:r w:rsidR="003104B3" w:rsidRPr="00DA76D3">
        <w:rPr>
          <w:lang w:val="it-IT"/>
        </w:rPr>
        <w:br/>
      </w:r>
    </w:p>
    <w:p w14:paraId="5EE2CBBE" w14:textId="4D952E43" w:rsidR="003104B3" w:rsidRPr="00DA76D3" w:rsidRDefault="0D204E78" w:rsidP="004D32A3">
      <w:pPr>
        <w:pStyle w:val="Paragrafoelenco"/>
        <w:numPr>
          <w:ilvl w:val="0"/>
          <w:numId w:val="1"/>
        </w:numPr>
        <w:spacing w:before="240" w:after="240" w:line="300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Il coinvolgimento formale del WMF nel progetto iniziò nel 2011. Il WMF condusse studi diagnostici per determinare le tecniche, i materiali, i pigmenti e le metodologie utilizzati originariamente nella costruzione e nel completamento della Galleria Carracci, al fine di comprendere e scegliere i trattamenti conservativi appropriati.</w:t>
      </w:r>
      <w:r w:rsidR="003104B3" w:rsidRPr="00DA76D3">
        <w:rPr>
          <w:lang w:val="it-IT"/>
        </w:rPr>
        <w:br/>
      </w:r>
    </w:p>
    <w:p w14:paraId="0C9DF7EC" w14:textId="11EAA91C" w:rsidR="003104B3" w:rsidRPr="00DA76D3" w:rsidRDefault="0D204E78" w:rsidP="004D32A3">
      <w:pPr>
        <w:pStyle w:val="Paragrafoelenco"/>
        <w:numPr>
          <w:ilvl w:val="0"/>
          <w:numId w:val="1"/>
        </w:numPr>
        <w:spacing w:before="240" w:after="240" w:line="300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Questa analisi ha dato origine a un programma di conservazione completo per il soffitto, gli stucchi e i rivestimenti decorativi delle pareti della Galleria Carracci.</w:t>
      </w:r>
      <w:r w:rsidR="003104B3" w:rsidRPr="00DA76D3">
        <w:rPr>
          <w:lang w:val="it-IT"/>
        </w:rPr>
        <w:br/>
      </w:r>
    </w:p>
    <w:p w14:paraId="44ECBA4C" w14:textId="013D4359" w:rsidR="003104B3" w:rsidRPr="00DA76D3" w:rsidRDefault="0D204E78" w:rsidP="004D32A3">
      <w:pPr>
        <w:pStyle w:val="Paragrafoelenco"/>
        <w:numPr>
          <w:ilvl w:val="0"/>
          <w:numId w:val="1"/>
        </w:numPr>
        <w:spacing w:after="0" w:line="300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I lavori di conservazione sono iniziati nel marzo 2014 e si sono conclusi nel 2015.</w:t>
      </w:r>
      <w:r w:rsidR="003104B3" w:rsidRPr="00DA76D3">
        <w:rPr>
          <w:lang w:val="it-IT"/>
        </w:rPr>
        <w:br/>
      </w:r>
    </w:p>
    <w:p w14:paraId="601E9A85" w14:textId="61C0050C" w:rsidR="003104B3" w:rsidRPr="00DA76D3" w:rsidRDefault="4398C075" w:rsidP="003104B3">
      <w:pPr>
        <w:spacing w:line="259" w:lineRule="auto"/>
        <w:jc w:val="center"/>
        <w:rPr>
          <w:rFonts w:ascii="Helvetica" w:eastAsia="Helvetica Neue" w:hAnsi="Helvetica" w:cs="Helvetica Neue"/>
          <w:caps/>
          <w:color w:val="000000" w:themeColor="text1"/>
          <w:sz w:val="31"/>
          <w:szCs w:val="31"/>
          <w:lang w:val="it-IT"/>
        </w:rPr>
      </w:pPr>
      <w:r w:rsidRPr="00DA76D3">
        <w:rPr>
          <w:lang w:val="it-IT"/>
        </w:rPr>
        <w:t xml:space="preserve">Tempio di </w:t>
      </w:r>
      <w:proofErr w:type="spellStart"/>
      <w:r w:rsidRPr="00DA76D3">
        <w:rPr>
          <w:lang w:val="it-IT"/>
        </w:rPr>
        <w:t>Portuno</w:t>
      </w:r>
      <w:proofErr w:type="spellEnd"/>
      <w:r w:rsidR="003104B3" w:rsidRPr="00DA76D3">
        <w:rPr>
          <w:lang w:val="it-IT"/>
        </w:rPr>
        <w:br/>
      </w:r>
      <w:r w:rsidRPr="00DA76D3">
        <w:rPr>
          <w:lang w:val="it-IT"/>
        </w:rPr>
        <w:t>ROMA, ITALIA</w:t>
      </w:r>
      <w:r w:rsidR="003104B3" w:rsidRPr="00DA76D3">
        <w:rPr>
          <w:lang w:val="it-IT"/>
        </w:rPr>
        <w:br/>
      </w:r>
      <w:r w:rsidR="10435D62" w:rsidRPr="00DA76D3">
        <w:rPr>
          <w:i/>
          <w:iCs/>
          <w:color w:val="000000" w:themeColor="text1"/>
          <w:sz w:val="22"/>
          <w:szCs w:val="22"/>
          <w:lang w:val="it-IT"/>
        </w:rPr>
        <w:t>Durata del progetto</w:t>
      </w:r>
      <w:r w:rsidR="003104B3" w:rsidRPr="00DA76D3">
        <w:rPr>
          <w:i/>
          <w:iCs/>
          <w:color w:val="000000" w:themeColor="text1"/>
          <w:sz w:val="22"/>
          <w:szCs w:val="22"/>
          <w:lang w:val="it-IT"/>
        </w:rPr>
        <w:t>: 2006 - 2013</w:t>
      </w:r>
    </w:p>
    <w:p w14:paraId="3C331BDE" w14:textId="0D4688E4" w:rsidR="003104B3" w:rsidRPr="00DA76D3" w:rsidRDefault="790534FB" w:rsidP="004D32A3">
      <w:pPr>
        <w:pStyle w:val="Paragrafoelenco"/>
        <w:numPr>
          <w:ilvl w:val="0"/>
          <w:numId w:val="5"/>
        </w:numPr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lastRenderedPageBreak/>
        <w:t>Il tempio fu incluso nel World Monuments Watch 2006, e in quell'anno il WMF collaborò con la Soprintendenza Archeologica di Roma per avviarne il restauro completo.</w:t>
      </w:r>
      <w:r w:rsidR="003104B3" w:rsidRPr="00DA76D3">
        <w:rPr>
          <w:lang w:val="it-IT"/>
        </w:rPr>
        <w:br/>
      </w:r>
    </w:p>
    <w:p w14:paraId="63761C97" w14:textId="0201300E" w:rsidR="003104B3" w:rsidRPr="00DA76D3" w:rsidRDefault="790534FB" w:rsidP="004D32A3">
      <w:pPr>
        <w:pStyle w:val="Paragrafoelenco"/>
        <w:numPr>
          <w:ilvl w:val="0"/>
          <w:numId w:val="5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Dal 2006 al 2008 le quattro pareti interne del tempio e i loro affreschi medievali furono completamente restaurati, inclusi i frammenti distaccati delle opere.</w:t>
      </w:r>
      <w:r w:rsidR="003104B3" w:rsidRPr="00DA76D3">
        <w:rPr>
          <w:lang w:val="it-IT"/>
        </w:rPr>
        <w:br/>
      </w:r>
    </w:p>
    <w:p w14:paraId="47A94532" w14:textId="5BA7C755" w:rsidR="003104B3" w:rsidRPr="00DA76D3" w:rsidRDefault="790534FB" w:rsidP="004D32A3">
      <w:pPr>
        <w:pStyle w:val="Paragrafoelenco"/>
        <w:numPr>
          <w:ilvl w:val="0"/>
          <w:numId w:val="5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Nello stesso periodo fu installata una nuova porta all'ingresso della cella e fu costruito un nuovo tetto in legno, che incorporava tegole antiche e un sistema di drenaggio accuratamente progettato.</w:t>
      </w:r>
      <w:r w:rsidR="003104B3" w:rsidRPr="00DA76D3">
        <w:rPr>
          <w:lang w:val="it-IT"/>
        </w:rPr>
        <w:br/>
      </w:r>
    </w:p>
    <w:p w14:paraId="350EC457" w14:textId="1DEBA607" w:rsidR="003104B3" w:rsidRPr="00DA76D3" w:rsidRDefault="790534FB" w:rsidP="004D32A3">
      <w:pPr>
        <w:pStyle w:val="Paragrafoelenco"/>
        <w:numPr>
          <w:ilvl w:val="0"/>
          <w:numId w:val="5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A partire dal 2008, il frontone anteriore sul lato nord del tempio fu pulito e restaurato.</w:t>
      </w:r>
    </w:p>
    <w:p w14:paraId="1E4022B1" w14:textId="0404CFD1" w:rsidR="003104B3" w:rsidRPr="00DA76D3" w:rsidRDefault="790534FB" w:rsidP="004D32A3">
      <w:pPr>
        <w:pStyle w:val="Paragrafoelenco"/>
        <w:numPr>
          <w:ilvl w:val="0"/>
          <w:numId w:val="5"/>
        </w:numPr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Dal 2010 al 2013, tutte le colonne, la facciata anteriore e tutte le pareti esterne furono conservate.</w:t>
      </w:r>
      <w:r w:rsidR="003104B3" w:rsidRPr="00DA76D3">
        <w:rPr>
          <w:lang w:val="it-IT"/>
        </w:rPr>
        <w:br/>
      </w:r>
    </w:p>
    <w:p w14:paraId="24750BDE" w14:textId="1A0E7FEE" w:rsidR="00E373F4" w:rsidRPr="00DA76D3" w:rsidRDefault="790534FB" w:rsidP="00E373F4">
      <w:pPr>
        <w:spacing w:line="259" w:lineRule="auto"/>
        <w:jc w:val="center"/>
        <w:rPr>
          <w:rFonts w:ascii="Helvetica" w:eastAsia="Helvetica Neue" w:hAnsi="Helvetica" w:cs="Helvetica Neue"/>
          <w:b/>
          <w:bCs/>
          <w:caps/>
          <w:color w:val="000000" w:themeColor="text1"/>
          <w:sz w:val="31"/>
          <w:szCs w:val="31"/>
          <w:lang w:val="it-IT"/>
        </w:rPr>
      </w:pPr>
      <w:r w:rsidRPr="00DA76D3">
        <w:rPr>
          <w:lang w:val="it-IT"/>
        </w:rPr>
        <w:t>Tempio di Ercole</w:t>
      </w:r>
      <w:r w:rsidR="0008113A" w:rsidRPr="00DA76D3">
        <w:rPr>
          <w:lang w:val="it-IT"/>
        </w:rPr>
        <w:br/>
      </w:r>
      <w:r w:rsidRPr="00DA76D3">
        <w:rPr>
          <w:lang w:val="it-IT"/>
        </w:rPr>
        <w:t>ROMA, ITALIA</w:t>
      </w:r>
      <w:r w:rsidR="0008113A" w:rsidRPr="00DA76D3">
        <w:rPr>
          <w:lang w:val="it-IT"/>
        </w:rPr>
        <w:br/>
      </w:r>
      <w:r w:rsidR="7D0A2C95" w:rsidRPr="00DA76D3">
        <w:rPr>
          <w:i/>
          <w:iCs/>
          <w:color w:val="000000" w:themeColor="text1"/>
          <w:sz w:val="22"/>
          <w:szCs w:val="22"/>
          <w:lang w:val="it-IT"/>
        </w:rPr>
        <w:t>Durata del progetto</w:t>
      </w:r>
      <w:r w:rsidR="00E373F4" w:rsidRPr="00DA76D3">
        <w:rPr>
          <w:i/>
          <w:iCs/>
          <w:color w:val="000000" w:themeColor="text1"/>
          <w:sz w:val="22"/>
          <w:szCs w:val="22"/>
          <w:lang w:val="it-IT"/>
        </w:rPr>
        <w:t>: 1996 - 1998</w:t>
      </w:r>
    </w:p>
    <w:p w14:paraId="4C98518C" w14:textId="428C4DE1" w:rsidR="00BE6372" w:rsidRPr="00DA76D3" w:rsidRDefault="5DBE298E" w:rsidP="004D32A3">
      <w:pPr>
        <w:pStyle w:val="Paragrafoelenco"/>
        <w:numPr>
          <w:ilvl w:val="0"/>
          <w:numId w:val="4"/>
        </w:numPr>
        <w:spacing w:line="259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Tra il 1996 e il 1998, il sostegno di American Express ha reso possibile la realizzazione e il completamento di un programma di conservazione completo presso il sito.</w:t>
      </w:r>
      <w:r w:rsidR="00BE6372" w:rsidRPr="00DA76D3">
        <w:rPr>
          <w:lang w:val="it-IT"/>
        </w:rPr>
        <w:br/>
      </w:r>
    </w:p>
    <w:p w14:paraId="7386B1F3" w14:textId="0110DD19" w:rsidR="00BE6372" w:rsidRPr="00DA76D3" w:rsidRDefault="5DBE298E" w:rsidP="004D32A3">
      <w:pPr>
        <w:pStyle w:val="Paragrafoelenco"/>
        <w:numPr>
          <w:ilvl w:val="0"/>
          <w:numId w:val="4"/>
        </w:numPr>
        <w:spacing w:before="240" w:after="240" w:line="259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I conservatori si sono concentrati sul consolidamento della stabilità strutturale e sulla prevenzione delle minacce geologiche al sito, conservando al contempo le superfici in marmo in erosione e i rari affreschi cristiani.</w:t>
      </w:r>
    </w:p>
    <w:p w14:paraId="640810CE" w14:textId="5C5D6B41" w:rsidR="00BE6372" w:rsidRPr="00DA76D3" w:rsidRDefault="00BE6372" w:rsidP="58E0EE24">
      <w:pPr>
        <w:pStyle w:val="Paragrafoelenco"/>
        <w:spacing w:before="240" w:after="240" w:line="259" w:lineRule="auto"/>
        <w:rPr>
          <w:color w:val="000000" w:themeColor="text1"/>
          <w:sz w:val="22"/>
          <w:szCs w:val="22"/>
          <w:lang w:val="it-IT"/>
        </w:rPr>
      </w:pPr>
    </w:p>
    <w:p w14:paraId="3F42D736" w14:textId="4C9AC131" w:rsidR="00BE6372" w:rsidRPr="00DA76D3" w:rsidRDefault="5DBE298E" w:rsidP="004D32A3">
      <w:pPr>
        <w:pStyle w:val="Paragrafoelenco"/>
        <w:numPr>
          <w:ilvl w:val="0"/>
          <w:numId w:val="4"/>
        </w:numPr>
        <w:spacing w:before="240" w:after="240" w:line="259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Elementi in acciaio inossidabile e titanio sono stati impiegati per ancorare il nuovo tetto ai capitelli delle colonne senza compromettere l'architettura originale.</w:t>
      </w:r>
      <w:r w:rsidR="00BE6372" w:rsidRPr="00DA76D3">
        <w:rPr>
          <w:lang w:val="it-IT"/>
        </w:rPr>
        <w:br/>
      </w:r>
    </w:p>
    <w:p w14:paraId="6F8CC1C7" w14:textId="0A2B21B1" w:rsidR="00BE6372" w:rsidRPr="00DA76D3" w:rsidRDefault="5DBE298E" w:rsidP="004D32A3">
      <w:pPr>
        <w:pStyle w:val="Paragrafoelenco"/>
        <w:numPr>
          <w:ilvl w:val="0"/>
          <w:numId w:val="4"/>
        </w:numPr>
        <w:spacing w:before="240" w:after="240" w:line="259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Il podio e il pavimento in tufo sono stati riportati alle loro altezze originali con nuova pietra, per poi essere parzialmente interrati a salvaguardia della loro stabilità.</w:t>
      </w:r>
      <w:r w:rsidR="00BE6372" w:rsidRPr="00DA76D3">
        <w:rPr>
          <w:lang w:val="it-IT"/>
        </w:rPr>
        <w:br/>
      </w:r>
    </w:p>
    <w:p w14:paraId="269B2F82" w14:textId="5C577798" w:rsidR="00BE6372" w:rsidRPr="00DA76D3" w:rsidRDefault="5DBE298E" w:rsidP="004D32A3">
      <w:pPr>
        <w:pStyle w:val="Paragrafoelenco"/>
        <w:numPr>
          <w:ilvl w:val="0"/>
          <w:numId w:val="4"/>
        </w:numPr>
        <w:spacing w:line="259" w:lineRule="auto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Le sezioni in marmo e intonaco delle pareti interne e l'affresco del XV secolo sopra l'altare sono stati puliti, consolidati, riparati e trattati.</w:t>
      </w:r>
      <w:r w:rsidR="00BE6372" w:rsidRPr="00DA76D3">
        <w:rPr>
          <w:lang w:val="it-IT"/>
        </w:rPr>
        <w:br/>
      </w:r>
    </w:p>
    <w:p w14:paraId="20446575" w14:textId="007D5639" w:rsidR="01290C9F" w:rsidRPr="00DA76D3" w:rsidRDefault="01290C9F" w:rsidP="58E0EE24">
      <w:pPr>
        <w:spacing w:line="259" w:lineRule="auto"/>
        <w:jc w:val="center"/>
        <w:rPr>
          <w:lang w:val="it-IT"/>
        </w:rPr>
      </w:pPr>
      <w:r w:rsidRPr="00DA76D3">
        <w:rPr>
          <w:rFonts w:ascii="Helvetica" w:eastAsia="Helvetica Neue" w:hAnsi="Helvetica" w:cs="Helvetica Neue"/>
          <w:b/>
          <w:bCs/>
          <w:caps/>
          <w:color w:val="000000" w:themeColor="text1"/>
          <w:sz w:val="31"/>
          <w:szCs w:val="31"/>
          <w:lang w:val="it-IT"/>
        </w:rPr>
        <w:t>Chiesa di Santa Maria Antiqua</w:t>
      </w:r>
      <w:r w:rsidRPr="00DA76D3">
        <w:rPr>
          <w:lang w:val="it-IT"/>
        </w:rPr>
        <w:br/>
      </w:r>
      <w:r w:rsidRPr="00DA76D3">
        <w:rPr>
          <w:rFonts w:ascii="Helvetica" w:eastAsia="Helvetica Neue" w:hAnsi="Helvetica" w:cs="Helvetica Neue"/>
          <w:b/>
          <w:bCs/>
          <w:caps/>
          <w:color w:val="000000" w:themeColor="text1"/>
          <w:sz w:val="31"/>
          <w:szCs w:val="31"/>
          <w:lang w:val="it-IT"/>
        </w:rPr>
        <w:t>ROMA, ITALIA</w:t>
      </w:r>
    </w:p>
    <w:p w14:paraId="1F433CFB" w14:textId="5742204B" w:rsidR="00562E04" w:rsidRPr="00DA76D3" w:rsidRDefault="01290C9F" w:rsidP="004D32A3">
      <w:pPr>
        <w:pStyle w:val="Paragrafoelenco"/>
        <w:numPr>
          <w:ilvl w:val="0"/>
          <w:numId w:val="7"/>
        </w:numPr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 xml:space="preserve">In collaborazione con la Soprintendenza ai Monumenti di Roma, il WMF ha finanziato ricerche storiche e documentazione a Santa Maria Antiqua per determinare il significato e il potenziale di conservazione di alcuni importanti cicli superstiti di pitture murali </w:t>
      </w:r>
      <w:r w:rsidRPr="00DA76D3">
        <w:rPr>
          <w:color w:val="000000" w:themeColor="text1"/>
          <w:sz w:val="22"/>
          <w:szCs w:val="22"/>
          <w:lang w:val="it-IT"/>
        </w:rPr>
        <w:lastRenderedPageBreak/>
        <w:t>paleocristiane.</w:t>
      </w:r>
      <w:r w:rsidR="0008113A" w:rsidRPr="00DA76D3">
        <w:rPr>
          <w:lang w:val="it-IT"/>
        </w:rPr>
        <w:br/>
      </w:r>
    </w:p>
    <w:p w14:paraId="084A9699" w14:textId="0C512A91" w:rsidR="00562E04" w:rsidRPr="00DA76D3" w:rsidRDefault="01290C9F" w:rsidP="004D32A3">
      <w:pPr>
        <w:pStyle w:val="Paragrafoelenco"/>
        <w:numPr>
          <w:ilvl w:val="0"/>
          <w:numId w:val="7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I test diagnostici hanno permesso ai conservatori di sviluppare una metodologia conservativa e di attuare un progetto pilota per il restauro delle Cappelle dei Santi Medici.</w:t>
      </w:r>
      <w:r w:rsidR="0008113A" w:rsidRPr="00DA76D3">
        <w:rPr>
          <w:lang w:val="it-IT"/>
        </w:rPr>
        <w:br/>
      </w:r>
    </w:p>
    <w:p w14:paraId="75CFB31B" w14:textId="03D4FCD8" w:rsidR="00562E04" w:rsidRDefault="01290C9F" w:rsidP="004D32A3">
      <w:pPr>
        <w:pStyle w:val="Paragrafoelenco"/>
        <w:numPr>
          <w:ilvl w:val="0"/>
          <w:numId w:val="7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58E0EE24">
        <w:rPr>
          <w:color w:val="000000" w:themeColor="text1"/>
          <w:sz w:val="22"/>
          <w:szCs w:val="22"/>
          <w:lang w:val="it-IT"/>
        </w:rPr>
        <w:t>Con le metodologie ben consolidate, il team ha avviato il progetto di restauro definitivo.</w:t>
      </w:r>
      <w:r w:rsidR="0008113A" w:rsidRPr="00DA76D3">
        <w:rPr>
          <w:lang w:val="it-IT"/>
        </w:rPr>
        <w:br/>
      </w:r>
    </w:p>
    <w:p w14:paraId="6EC2C87B" w14:textId="6EE1C9CA" w:rsidR="00562E04" w:rsidRPr="00DA76D3" w:rsidRDefault="01290C9F" w:rsidP="004D32A3">
      <w:pPr>
        <w:pStyle w:val="Paragrafoelenco"/>
        <w:numPr>
          <w:ilvl w:val="0"/>
          <w:numId w:val="7"/>
        </w:numPr>
        <w:rPr>
          <w:rFonts w:ascii="Helvetica" w:hAnsi="Helvetica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Grazie al lavoro svolto a Santa Maria Antiqua, che in precedenza non era aperta al pubblico, è ora possibile visitare la chiesa in modo limitato.</w:t>
      </w:r>
      <w:r w:rsidR="0008113A" w:rsidRPr="00DA76D3">
        <w:rPr>
          <w:lang w:val="it-IT"/>
        </w:rPr>
        <w:br/>
      </w:r>
    </w:p>
    <w:p w14:paraId="52D2A949" w14:textId="6F26CF05" w:rsidR="00CB5946" w:rsidRPr="00DA76D3" w:rsidRDefault="6B1D32D6" w:rsidP="00CB5946">
      <w:pPr>
        <w:spacing w:line="259" w:lineRule="auto"/>
        <w:jc w:val="center"/>
        <w:rPr>
          <w:rFonts w:ascii="Helvetica" w:eastAsia="Helvetica Neue" w:hAnsi="Helvetica" w:cs="Helvetica Neue"/>
          <w:caps/>
          <w:color w:val="000000" w:themeColor="text1"/>
          <w:sz w:val="31"/>
          <w:szCs w:val="31"/>
          <w:lang w:val="it-IT"/>
        </w:rPr>
      </w:pPr>
      <w:r w:rsidRPr="00DA76D3">
        <w:rPr>
          <w:rFonts w:ascii="Helvetica" w:eastAsia="Helvetica Neue" w:hAnsi="Helvetica" w:cs="Helvetica Neue"/>
          <w:b/>
          <w:bCs/>
          <w:caps/>
          <w:color w:val="000000" w:themeColor="text1"/>
          <w:sz w:val="31"/>
          <w:szCs w:val="31"/>
          <w:lang w:val="it-IT"/>
        </w:rPr>
        <w:t>VENEZIA</w:t>
      </w:r>
      <w:hyperlink r:id="rId10">
        <w:r w:rsidR="00CB5946" w:rsidRPr="00DA76D3">
          <w:rPr>
            <w:rFonts w:ascii="Helvetica" w:eastAsia="Helvetica Neue" w:hAnsi="Helvetica" w:cs="Helvetica Neue"/>
            <w:b/>
            <w:bCs/>
            <w:caps/>
            <w:color w:val="000000" w:themeColor="text1"/>
            <w:sz w:val="31"/>
            <w:szCs w:val="31"/>
            <w:lang w:val="it-IT"/>
          </w:rPr>
          <w:t>,</w:t>
        </w:r>
      </w:hyperlink>
      <w:r w:rsidR="00CB5946" w:rsidRPr="00DA76D3">
        <w:rPr>
          <w:rFonts w:ascii="Helvetica" w:eastAsia="Helvetica Neue" w:hAnsi="Helvetica" w:cs="Helvetica Neue"/>
          <w:b/>
          <w:bCs/>
          <w:caps/>
          <w:color w:val="000000" w:themeColor="text1"/>
          <w:sz w:val="31"/>
          <w:szCs w:val="31"/>
          <w:lang w:val="it-IT"/>
        </w:rPr>
        <w:t xml:space="preserve"> ITALY</w:t>
      </w:r>
      <w:r w:rsidR="00CB5946" w:rsidRPr="00DA76D3">
        <w:rPr>
          <w:lang w:val="it-IT"/>
        </w:rPr>
        <w:br/>
      </w:r>
      <w:r w:rsidR="38ED187B" w:rsidRPr="00DA76D3">
        <w:rPr>
          <w:i/>
          <w:iCs/>
          <w:color w:val="000000" w:themeColor="text1"/>
          <w:sz w:val="22"/>
          <w:szCs w:val="22"/>
          <w:lang w:val="it-IT"/>
        </w:rPr>
        <w:t>Durata del progetto</w:t>
      </w:r>
      <w:r w:rsidR="00CB5946" w:rsidRPr="00DA76D3">
        <w:rPr>
          <w:rFonts w:ascii="Helvetica" w:eastAsia="Helvetica Neue" w:hAnsi="Helvetica" w:cs="Helvetica Neue"/>
          <w:i/>
          <w:iCs/>
          <w:color w:val="000000" w:themeColor="text1"/>
          <w:sz w:val="22"/>
          <w:szCs w:val="22"/>
          <w:lang w:val="it-IT"/>
        </w:rPr>
        <w:t>: 1966 - 1989</w:t>
      </w:r>
    </w:p>
    <w:p w14:paraId="7B60C856" w14:textId="14F3CF36" w:rsidR="6B641FDB" w:rsidRPr="00DA76D3" w:rsidRDefault="6B641FDB" w:rsidP="004D32A3">
      <w:pPr>
        <w:pStyle w:val="Paragrafoelenco"/>
        <w:numPr>
          <w:ilvl w:val="0"/>
          <w:numId w:val="7"/>
        </w:numPr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Venezia, rinomata per i suoi canali, è una delle città storicamente più significative del mondo. La sua architettura, la sua arte e i suoi contributi culturali hanno lasciato un'impronta duratura a livello globale.</w:t>
      </w:r>
      <w:r w:rsidRPr="00DA76D3">
        <w:rPr>
          <w:lang w:val="it-IT"/>
        </w:rPr>
        <w:br/>
      </w:r>
    </w:p>
    <w:p w14:paraId="43BEFD41" w14:textId="60C143FD" w:rsidR="6B641FDB" w:rsidRPr="00DA76D3" w:rsidRDefault="6B641FDB" w:rsidP="004D32A3">
      <w:pPr>
        <w:pStyle w:val="Paragrafoelenco"/>
        <w:numPr>
          <w:ilvl w:val="0"/>
          <w:numId w:val="7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L</w:t>
      </w:r>
      <w:r w:rsidR="00366625">
        <w:rPr>
          <w:color w:val="000000" w:themeColor="text1"/>
          <w:sz w:val="22"/>
          <w:szCs w:val="22"/>
          <w:lang w:val="it-IT"/>
        </w:rPr>
        <w:t>’</w:t>
      </w:r>
      <w:r w:rsidRPr="00DA76D3">
        <w:rPr>
          <w:color w:val="000000" w:themeColor="text1"/>
          <w:sz w:val="22"/>
          <w:szCs w:val="22"/>
          <w:lang w:val="it-IT"/>
        </w:rPr>
        <w:t>inondazion</w:t>
      </w:r>
      <w:r w:rsidR="00366625">
        <w:rPr>
          <w:color w:val="000000" w:themeColor="text1"/>
          <w:sz w:val="22"/>
          <w:szCs w:val="22"/>
          <w:lang w:val="it-IT"/>
        </w:rPr>
        <w:t>e</w:t>
      </w:r>
      <w:r w:rsidRPr="00DA76D3">
        <w:rPr>
          <w:color w:val="000000" w:themeColor="text1"/>
          <w:sz w:val="22"/>
          <w:szCs w:val="22"/>
          <w:lang w:val="it-IT"/>
        </w:rPr>
        <w:t xml:space="preserve"> del 1966 rappresent</w:t>
      </w:r>
      <w:r w:rsidR="00366625">
        <w:rPr>
          <w:color w:val="000000" w:themeColor="text1"/>
          <w:sz w:val="22"/>
          <w:szCs w:val="22"/>
          <w:lang w:val="it-IT"/>
        </w:rPr>
        <w:t>ò</w:t>
      </w:r>
      <w:r w:rsidRPr="00DA76D3">
        <w:rPr>
          <w:color w:val="000000" w:themeColor="text1"/>
          <w:sz w:val="22"/>
          <w:szCs w:val="22"/>
          <w:lang w:val="it-IT"/>
        </w:rPr>
        <w:t xml:space="preserve"> un momento cruciale nella storia moderna di Venezia, causando danni ingenti e catalizzando gli sforzi internazionali per salvaguardare il patrimonio della città.</w:t>
      </w:r>
      <w:r w:rsidRPr="00DA76D3">
        <w:rPr>
          <w:lang w:val="it-IT"/>
        </w:rPr>
        <w:br/>
      </w:r>
    </w:p>
    <w:p w14:paraId="06207A59" w14:textId="65323BF6" w:rsidR="6B641FDB" w:rsidRDefault="6B641FDB" w:rsidP="004D32A3">
      <w:pPr>
        <w:pStyle w:val="Paragrafoelenco"/>
        <w:numPr>
          <w:ilvl w:val="0"/>
          <w:numId w:val="7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58E0EE24">
        <w:rPr>
          <w:color w:val="000000" w:themeColor="text1"/>
          <w:sz w:val="22"/>
          <w:szCs w:val="22"/>
          <w:lang w:val="it-IT"/>
        </w:rPr>
        <w:t xml:space="preserve">Venezia è un chiaro esempio di come </w:t>
      </w:r>
      <w:r w:rsidR="00366625">
        <w:rPr>
          <w:color w:val="000000" w:themeColor="text1"/>
          <w:sz w:val="22"/>
          <w:szCs w:val="22"/>
          <w:lang w:val="it-IT"/>
        </w:rPr>
        <w:t xml:space="preserve">l’overtourism </w:t>
      </w:r>
      <w:r w:rsidRPr="58E0EE24">
        <w:rPr>
          <w:color w:val="000000" w:themeColor="text1"/>
          <w:sz w:val="22"/>
          <w:szCs w:val="22"/>
          <w:lang w:val="it-IT"/>
        </w:rPr>
        <w:t>possa incidere sui centri storici urbani. È anche un caso di studio per la resilienza urbana al clima e l'adattamento, in quanto una delle numerose città nel mondo che si trovano ad affrontare l'innalzamento del livello del mare, le mareggiate e altro ancora.</w:t>
      </w:r>
      <w:r w:rsidRPr="00DA76D3">
        <w:rPr>
          <w:lang w:val="it-IT"/>
        </w:rPr>
        <w:br/>
      </w:r>
    </w:p>
    <w:p w14:paraId="6B4A24D5" w14:textId="2E5F3235" w:rsidR="6B641FDB" w:rsidRPr="00DA76D3" w:rsidRDefault="6B641FDB" w:rsidP="004D32A3">
      <w:pPr>
        <w:pStyle w:val="Paragrafoelenco"/>
        <w:numPr>
          <w:ilvl w:val="0"/>
          <w:numId w:val="7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Il lavoro del WMF a Venezia iniziò all'indomani dell</w:t>
      </w:r>
      <w:r w:rsidR="00F15452">
        <w:rPr>
          <w:color w:val="000000" w:themeColor="text1"/>
          <w:sz w:val="22"/>
          <w:szCs w:val="22"/>
          <w:lang w:val="it-IT"/>
        </w:rPr>
        <w:t>’</w:t>
      </w:r>
      <w:r w:rsidRPr="00DA76D3">
        <w:rPr>
          <w:color w:val="000000" w:themeColor="text1"/>
          <w:sz w:val="22"/>
          <w:szCs w:val="22"/>
          <w:lang w:val="it-IT"/>
        </w:rPr>
        <w:t>inondazion</w:t>
      </w:r>
      <w:r w:rsidR="00F15452">
        <w:rPr>
          <w:color w:val="000000" w:themeColor="text1"/>
          <w:sz w:val="22"/>
          <w:szCs w:val="22"/>
          <w:lang w:val="it-IT"/>
        </w:rPr>
        <w:t xml:space="preserve">e </w:t>
      </w:r>
      <w:r w:rsidRPr="00DA76D3">
        <w:rPr>
          <w:color w:val="000000" w:themeColor="text1"/>
          <w:sz w:val="22"/>
          <w:szCs w:val="22"/>
          <w:lang w:val="it-IT"/>
        </w:rPr>
        <w:t>del 1966, che segn</w:t>
      </w:r>
      <w:r w:rsidR="00F15452">
        <w:rPr>
          <w:color w:val="000000" w:themeColor="text1"/>
          <w:sz w:val="22"/>
          <w:szCs w:val="22"/>
          <w:lang w:val="it-IT"/>
        </w:rPr>
        <w:t>ò</w:t>
      </w:r>
      <w:r w:rsidRPr="00DA76D3">
        <w:rPr>
          <w:color w:val="000000" w:themeColor="text1"/>
          <w:sz w:val="22"/>
          <w:szCs w:val="22"/>
          <w:lang w:val="it-IT"/>
        </w:rPr>
        <w:t xml:space="preserve"> un momento fondamentale nella storia delle prime fasi dell'organizzazione. Il Colonnello James Gray, fondatore del WMF, mobilitò rapidamente supporto tecnico internazionale e fondi per aiutare la città.</w:t>
      </w:r>
      <w:r w:rsidRPr="00DA76D3">
        <w:rPr>
          <w:lang w:val="it-IT"/>
        </w:rPr>
        <w:br/>
      </w:r>
    </w:p>
    <w:p w14:paraId="5B7EBEFE" w14:textId="6B757DD0" w:rsidR="6B641FDB" w:rsidRPr="00DA76D3" w:rsidRDefault="6B641FDB" w:rsidP="004D32A3">
      <w:pPr>
        <w:pStyle w:val="Paragrafoelenco"/>
        <w:numPr>
          <w:ilvl w:val="0"/>
          <w:numId w:val="7"/>
        </w:numPr>
        <w:spacing w:before="240" w:after="240"/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>Nel 1966, il Comitato per Venezia del Fondo Internazionale per i Monumenti (IFM), il precursore del WMF, fu istituito con uffici a Venezia e sezioni di raccolta fondi negli Stati Uniti. Questi sforzi portarono al restauro di alcuni siti veneziani chiave.</w:t>
      </w:r>
      <w:r w:rsidRPr="00DA76D3">
        <w:rPr>
          <w:lang w:val="it-IT"/>
        </w:rPr>
        <w:br/>
      </w:r>
    </w:p>
    <w:p w14:paraId="128D3833" w14:textId="3D82932B" w:rsidR="6B641FDB" w:rsidRPr="00DA76D3" w:rsidRDefault="6B641FDB" w:rsidP="004D32A3">
      <w:pPr>
        <w:pStyle w:val="Paragrafoelenco"/>
        <w:numPr>
          <w:ilvl w:val="0"/>
          <w:numId w:val="7"/>
        </w:numPr>
        <w:rPr>
          <w:color w:val="000000" w:themeColor="text1"/>
          <w:sz w:val="22"/>
          <w:szCs w:val="22"/>
          <w:lang w:val="it-IT"/>
        </w:rPr>
      </w:pPr>
      <w:r w:rsidRPr="00DA76D3">
        <w:rPr>
          <w:color w:val="000000" w:themeColor="text1"/>
          <w:sz w:val="22"/>
          <w:szCs w:val="22"/>
          <w:lang w:val="it-IT"/>
        </w:rPr>
        <w:t xml:space="preserve">Mentre i Comitati per Venezia si separarono nel 1972 per formare Save Venice Inc., il WMF riprese il coinvolgimento diretto a Venezia nel 1989, istituendo il suo primo ufficio affiliato, </w:t>
      </w:r>
      <w:r w:rsidR="00B35609">
        <w:rPr>
          <w:color w:val="000000" w:themeColor="text1"/>
          <w:sz w:val="22"/>
          <w:szCs w:val="22"/>
          <w:lang w:val="it-IT"/>
        </w:rPr>
        <w:t>“</w:t>
      </w:r>
      <w:r w:rsidRPr="00DA76D3">
        <w:rPr>
          <w:color w:val="000000" w:themeColor="text1"/>
          <w:sz w:val="22"/>
          <w:szCs w:val="22"/>
          <w:lang w:val="it-IT"/>
        </w:rPr>
        <w:t>l'Associazione Comitato Italiano World Monuments Fund</w:t>
      </w:r>
      <w:r w:rsidR="00B35609">
        <w:rPr>
          <w:color w:val="000000" w:themeColor="text1"/>
          <w:sz w:val="22"/>
          <w:szCs w:val="22"/>
          <w:lang w:val="it-IT"/>
        </w:rPr>
        <w:t>”</w:t>
      </w:r>
      <w:r w:rsidRPr="00DA76D3">
        <w:rPr>
          <w:color w:val="000000" w:themeColor="text1"/>
          <w:sz w:val="22"/>
          <w:szCs w:val="22"/>
          <w:lang w:val="it-IT"/>
        </w:rPr>
        <w:t>, e completando importanti progetti di restauro in tutta la città.</w:t>
      </w:r>
    </w:p>
    <w:p w14:paraId="6F66E525" w14:textId="77777777" w:rsidR="0054100C" w:rsidRPr="00DA76D3" w:rsidRDefault="0054100C" w:rsidP="58E0EE24">
      <w:pPr>
        <w:pStyle w:val="Paragrafoelenco"/>
        <w:rPr>
          <w:rFonts w:ascii="Helvetica" w:hAnsi="Helvetica"/>
          <w:sz w:val="22"/>
          <w:szCs w:val="22"/>
          <w:lang w:val="it-IT"/>
        </w:rPr>
      </w:pPr>
    </w:p>
    <w:p w14:paraId="07E957D7" w14:textId="098F0928" w:rsidR="00903B5E" w:rsidRPr="00DA76D3" w:rsidRDefault="13A65C4D" w:rsidP="58E0EE24">
      <w:pPr>
        <w:rPr>
          <w:rFonts w:ascii="Helvetica" w:eastAsia="Helvetica" w:hAnsi="Helvetica" w:cs="Helvetica"/>
          <w:sz w:val="22"/>
          <w:szCs w:val="22"/>
          <w:lang w:val="it-IT"/>
        </w:rPr>
        <w:sectPr w:rsidR="00903B5E" w:rsidRPr="00DA76D3" w:rsidSect="00BA2FB0">
          <w:headerReference w:type="default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  <w:r w:rsidRPr="00DA76D3">
        <w:rPr>
          <w:b/>
          <w:bCs/>
          <w:color w:val="000000" w:themeColor="text1"/>
          <w:sz w:val="22"/>
          <w:szCs w:val="22"/>
          <w:lang w:val="it-IT"/>
        </w:rPr>
        <w:lastRenderedPageBreak/>
        <w:t>ELENCO COMPLETO DEI PROGETTI WMF IN ITALIA</w:t>
      </w:r>
      <w:r w:rsidR="00444935" w:rsidRPr="00DA76D3">
        <w:rPr>
          <w:lang w:val="it-IT"/>
        </w:rPr>
        <w:br/>
      </w:r>
      <w:r w:rsidR="698BA50E" w:rsidRPr="00DA76D3">
        <w:rPr>
          <w:rFonts w:ascii="Helvetica" w:eastAsia="Helvetica" w:hAnsi="Helvetica" w:cs="Helvetica"/>
          <w:sz w:val="22"/>
          <w:szCs w:val="22"/>
          <w:lang w:val="it-IT"/>
        </w:rPr>
        <w:t xml:space="preserve">I siti in </w:t>
      </w:r>
      <w:r w:rsidR="698BA50E" w:rsidRPr="00DA76D3">
        <w:rPr>
          <w:rFonts w:ascii="Helvetica" w:eastAsia="Helvetica" w:hAnsi="Helvetica" w:cs="Helvetica"/>
          <w:i/>
          <w:iCs/>
          <w:sz w:val="22"/>
          <w:szCs w:val="22"/>
          <w:lang w:val="it-IT"/>
        </w:rPr>
        <w:t xml:space="preserve">corsivo </w:t>
      </w:r>
      <w:r w:rsidR="698BA50E" w:rsidRPr="00DA76D3">
        <w:rPr>
          <w:rFonts w:ascii="Helvetica" w:eastAsia="Helvetica" w:hAnsi="Helvetica" w:cs="Helvetica"/>
          <w:sz w:val="22"/>
          <w:szCs w:val="22"/>
          <w:lang w:val="it-IT"/>
        </w:rPr>
        <w:t>sono stati inclusi nel World Monuments Watch</w:t>
      </w:r>
    </w:p>
    <w:p w14:paraId="2E33B447" w14:textId="39213D15" w:rsidR="00444935" w:rsidRPr="00FB64E9" w:rsidRDefault="1598B2C2" w:rsidP="004D32A3">
      <w:pPr>
        <w:pStyle w:val="Paragrafoelenco"/>
        <w:numPr>
          <w:ilvl w:val="0"/>
          <w:numId w:val="2"/>
        </w:numPr>
        <w:rPr>
          <w:rFonts w:ascii="Helvetica" w:eastAsia="Helvetica" w:hAnsi="Helvetica" w:cs="Helvetica"/>
          <w:i/>
          <w:iCs/>
          <w:color w:val="000000" w:themeColor="text1"/>
          <w:sz w:val="22"/>
          <w:szCs w:val="22"/>
        </w:rPr>
      </w:pPr>
      <w:r w:rsidRPr="58E0EE24">
        <w:rPr>
          <w:rFonts w:ascii="Helvetica" w:eastAsia="Helvetica" w:hAnsi="Helvetica" w:cs="Helvetica"/>
          <w:i/>
          <w:iCs/>
          <w:color w:val="000000" w:themeColor="text1"/>
          <w:sz w:val="22"/>
          <w:szCs w:val="22"/>
        </w:rPr>
        <w:t>Amatrice – 2018</w:t>
      </w:r>
    </w:p>
    <w:p w14:paraId="56DF455D" w14:textId="4037DAAE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Antica Pompei – 1996, 1998, 2000</w:t>
      </w:r>
    </w:p>
    <w:p w14:paraId="74368E9B" w14:textId="6F2CCFD6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Arco di Giano – 2016</w:t>
      </w:r>
    </w:p>
    <w:p w14:paraId="0AC684C3" w14:textId="2839288C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Monumento a Bartolomeo Colleoni – 1996</w:t>
      </w:r>
    </w:p>
    <w:p w14:paraId="7731B051" w14:textId="2B8BBD3A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Basilica di Torcello</w:t>
      </w:r>
    </w:p>
    <w:p w14:paraId="3222A283" w14:textId="288DFA72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Biblioteca Marciana</w:t>
      </w:r>
    </w:p>
    <w:p w14:paraId="63535676" w14:textId="7FE68450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Ca' d'Oro</w:t>
      </w:r>
    </w:p>
    <w:p w14:paraId="03DE415C" w14:textId="374EC0A7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Ca' Zenobio</w:t>
      </w:r>
    </w:p>
    <w:p w14:paraId="0F101E43" w14:textId="49878628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Ca' Rezzonico</w:t>
      </w:r>
    </w:p>
    <w:p w14:paraId="05567496" w14:textId="0E8EEB75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Casina Farnese, Colle Palatino</w:t>
      </w:r>
    </w:p>
    <w:p w14:paraId="74EC8345" w14:textId="17C29E6A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Cattedrale di San Pietro di Castello</w:t>
      </w:r>
    </w:p>
    <w:p w14:paraId="758E1F2C" w14:textId="11A8BB34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Cattedrale</w:t>
      </w:r>
      <w:proofErr w:type="spellEnd"/>
      <w:r w:rsidRPr="58E0EE24">
        <w:rPr>
          <w:rFonts w:ascii="Helvetica" w:eastAsia="Helvetica" w:hAnsi="Helvetica" w:cs="Helvetica"/>
          <w:sz w:val="22"/>
          <w:szCs w:val="22"/>
        </w:rPr>
        <w:t xml:space="preserve"> di San Petronio</w:t>
      </w:r>
    </w:p>
    <w:p w14:paraId="78E16DC6" w14:textId="6AC12055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Ponte delle Catene – 2000, 2002</w:t>
      </w:r>
    </w:p>
    <w:p w14:paraId="5F128485" w14:textId="6EDB75AC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Palazzo Cinese</w:t>
      </w:r>
    </w:p>
    <w:p w14:paraId="5CA4E7EA" w14:textId="5C4A28B7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Chiesa di Orsanmichele</w:t>
      </w:r>
    </w:p>
    <w:p w14:paraId="7197DF9F" w14:textId="41014427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Chiesa di San Clemente a Casauria</w:t>
      </w:r>
    </w:p>
    <w:p w14:paraId="43E80C34" w14:textId="69A5C410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 xml:space="preserve">Chiesa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dei</w:t>
      </w:r>
      <w:proofErr w:type="spellEnd"/>
      <w:r w:rsidRPr="58E0EE24">
        <w:rPr>
          <w:rFonts w:ascii="Helvetica" w:eastAsia="Helvetica" w:hAnsi="Helvetica" w:cs="Helvetica"/>
          <w:sz w:val="22"/>
          <w:szCs w:val="22"/>
        </w:rPr>
        <w:t xml:space="preserve">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Frari</w:t>
      </w:r>
      <w:proofErr w:type="spellEnd"/>
    </w:p>
    <w:p w14:paraId="6206A265" w14:textId="65380B7A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Chiesa della Pietà</w:t>
      </w:r>
    </w:p>
    <w:p w14:paraId="03B43B82" w14:textId="102752C9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Cinque Terre – 2000, 2002</w:t>
      </w:r>
    </w:p>
    <w:p w14:paraId="32BEBB7F" w14:textId="1FF5EB77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Museo della Cosa</w:t>
      </w:r>
    </w:p>
    <w:p w14:paraId="145CECD7" w14:textId="25E5274F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Criptoportico</w:t>
      </w:r>
    </w:p>
    <w:p w14:paraId="449F5193" w14:textId="655B03A5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Duomo, Cappella di Teodolinda</w:t>
      </w:r>
    </w:p>
    <w:p w14:paraId="25A30492" w14:textId="3890D401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Uccelliere Farnese</w:t>
      </w:r>
    </w:p>
    <w:p w14:paraId="68ECF321" w14:textId="331CBC2E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Firenze</w:t>
      </w:r>
    </w:p>
    <w:p w14:paraId="2A4918E7" w14:textId="70DFB6CA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Sinagoga di Firenze</w:t>
      </w:r>
    </w:p>
    <w:p w14:paraId="48A515B7" w14:textId="5439942D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Fondazione Querini Stampalia</w:t>
      </w:r>
    </w:p>
    <w:p w14:paraId="4C75B44A" w14:textId="08184615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Grotte di San Michele – 1996</w:t>
      </w:r>
    </w:p>
    <w:p w14:paraId="50FFD587" w14:textId="466B2037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Centro Storico de L'Aquila – 2014</w:t>
      </w:r>
    </w:p>
    <w:p w14:paraId="2FF005B5" w14:textId="013E5567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Casa di Augusto</w:t>
      </w:r>
    </w:p>
    <w:p w14:paraId="1EE25991" w14:textId="02AA4F73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Corso di Conservazione della Pietra ICCROM</w:t>
      </w:r>
    </w:p>
    <w:p w14:paraId="6AB502B2" w14:textId="29D62FCA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 xml:space="preserve">Centro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Informazioni</w:t>
      </w:r>
      <w:proofErr w:type="spellEnd"/>
    </w:p>
    <w:p w14:paraId="19919629" w14:textId="5E62DE7F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Catacombe Ebraiche</w:t>
      </w:r>
    </w:p>
    <w:p w14:paraId="2236C730" w14:textId="564CEBC6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Limonaia ai Giardini di Boboli – 1998</w:t>
      </w:r>
    </w:p>
    <w:p w14:paraId="228F0375" w14:textId="62FB3230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Madonna di Loreto</w:t>
      </w:r>
    </w:p>
    <w:p w14:paraId="45D89413" w14:textId="4AF88FFB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Cappella Manin</w:t>
      </w:r>
    </w:p>
    <w:p w14:paraId="46B695DF" w14:textId="0845DB18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Laboratorio della Misericordia</w:t>
      </w:r>
    </w:p>
    <w:p w14:paraId="2896048E" w14:textId="2D38A4E4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Cimitero Monumentale</w:t>
      </w:r>
    </w:p>
    <w:p w14:paraId="16FF4460" w14:textId="1F103846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Muro dei Francesi</w:t>
      </w:r>
    </w:p>
    <w:p w14:paraId="5A808125" w14:textId="14A82904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Sinagoga Norsa</w:t>
      </w:r>
    </w:p>
    <w:p w14:paraId="511D571C" w14:textId="546008B3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Orsanmichele</w:t>
      </w:r>
    </w:p>
    <w:p w14:paraId="1F6CBD25" w14:textId="1FD5EC02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Palazzo Farnese</w:t>
      </w:r>
    </w:p>
    <w:p w14:paraId="2C5F8DB7" w14:textId="6283D8E3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Cattedrale di Parma</w:t>
      </w:r>
    </w:p>
    <w:p w14:paraId="4F655A97" w14:textId="2ADB256B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Pieve di San Gregorio</w:t>
      </w:r>
    </w:p>
    <w:p w14:paraId="07BE4F6E" w14:textId="2DE3E95A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Palazzo Pitti</w:t>
      </w:r>
    </w:p>
    <w:p w14:paraId="4A1A2121" w14:textId="403DF406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Querini Stampalia</w:t>
      </w:r>
    </w:p>
    <w:p w14:paraId="3E3F6A2D" w14:textId="7CB94BF4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Real Albergo dei Poveri</w:t>
      </w:r>
    </w:p>
    <w:p w14:paraId="2EC5BB50" w14:textId="05B9CDB7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Guida Turistica di Roma / Sito Web</w:t>
      </w:r>
    </w:p>
    <w:p w14:paraId="65655614" w14:textId="71A3DA3A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Palazzo Reale di Venezia (Museo Correr)</w:t>
      </w:r>
    </w:p>
    <w:p w14:paraId="31B76955" w14:textId="7707CB91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Chiese Rupestri della Puglia e di Matera – 1998</w:t>
      </w:r>
    </w:p>
    <w:p w14:paraId="61CFC6A4" w14:textId="3B81436A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Squero</w:t>
      </w:r>
      <w:proofErr w:type="spellEnd"/>
      <w:r w:rsidRPr="58E0EE24">
        <w:rPr>
          <w:rFonts w:ascii="Helvetica" w:eastAsia="Helvetica" w:hAnsi="Helvetica" w:cs="Helvetica"/>
          <w:sz w:val="22"/>
          <w:szCs w:val="22"/>
        </w:rPr>
        <w:t xml:space="preserve"> di San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Trovaso</w:t>
      </w:r>
      <w:proofErr w:type="spellEnd"/>
    </w:p>
    <w:p w14:paraId="710AA575" w14:textId="252BF201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Workshop sull'Abbattimento del Sale</w:t>
      </w:r>
    </w:p>
    <w:p w14:paraId="395522CE" w14:textId="4DA5D3C6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Ante d'Organo della Chiesa di San Geminiano</w:t>
      </w:r>
    </w:p>
    <w:p w14:paraId="46FAC3FA" w14:textId="07519564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 Giovanni Battista</w:t>
      </w:r>
    </w:p>
    <w:p w14:paraId="2D99A16C" w14:textId="2182CC30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Laboratorio di San Gregorio</w:t>
      </w:r>
    </w:p>
    <w:p w14:paraId="6297F1B1" w14:textId="7B458C1D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Chiesa di San Lorenzo</w:t>
      </w:r>
    </w:p>
    <w:p w14:paraId="5DC09673" w14:textId="1A04682C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 Pietro di Castello</w:t>
      </w:r>
    </w:p>
    <w:p w14:paraId="738FEFFA" w14:textId="2E9AFE8A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 Sebastiano</w:t>
      </w:r>
    </w:p>
    <w:p w14:paraId="47D7FF12" w14:textId="693EE432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 Stae</w:t>
      </w:r>
    </w:p>
    <w:p w14:paraId="79F85675" w14:textId="268C6B5E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Sant'Alvise</w:t>
      </w:r>
    </w:p>
    <w:p w14:paraId="4000981B" w14:textId="3C1DE4CD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Basilica di Sant'Andrea</w:t>
      </w:r>
    </w:p>
    <w:p w14:paraId="21D4BDE1" w14:textId="756E8C7C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Chiesa di Santa Croce in Gerusalemme</w:t>
      </w:r>
    </w:p>
    <w:p w14:paraId="01762FCC" w14:textId="24311311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Santa Maria del Giglio</w:t>
      </w:r>
    </w:p>
    <w:p w14:paraId="60336B6B" w14:textId="07DC54E4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Chiesa di Santa Maria Antiqua</w:t>
      </w:r>
    </w:p>
    <w:p w14:paraId="5A85EBC6" w14:textId="4F5195F8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Santa Maria Assunta</w:t>
      </w:r>
    </w:p>
    <w:p w14:paraId="1C21B71C" w14:textId="7084664B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Santa Maria dei Derelitti</w:t>
      </w:r>
    </w:p>
    <w:p w14:paraId="576EA717" w14:textId="1DDBF914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Chiesa di Santa Maria del Giglio</w:t>
      </w:r>
    </w:p>
    <w:p w14:paraId="60907532" w14:textId="1805CFC9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 xml:space="preserve">Santa Maria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della</w:t>
      </w:r>
      <w:proofErr w:type="spellEnd"/>
      <w:r w:rsidRPr="58E0EE24">
        <w:rPr>
          <w:rFonts w:ascii="Helvetica" w:eastAsia="Helvetica" w:hAnsi="Helvetica" w:cs="Helvetica"/>
          <w:sz w:val="22"/>
          <w:szCs w:val="22"/>
        </w:rPr>
        <w:t xml:space="preserve">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Visitazione</w:t>
      </w:r>
      <w:proofErr w:type="spellEnd"/>
    </w:p>
    <w:p w14:paraId="381822AF" w14:textId="0458E8E0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Santa Maria in Stelle – 1996, 2006</w:t>
      </w:r>
    </w:p>
    <w:p w14:paraId="1D0B00F5" w14:textId="440931E3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Santa Maria Novella</w:t>
      </w:r>
    </w:p>
    <w:p w14:paraId="1696E899" w14:textId="33919540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Santa Pudenziana</w:t>
      </w:r>
    </w:p>
    <w:p w14:paraId="1F932F94" w14:textId="054E6B13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Chiostro dei Santi Quattro Coronati – 2000</w:t>
      </w:r>
    </w:p>
    <w:p w14:paraId="67B40B7A" w14:textId="61A26366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lastRenderedPageBreak/>
        <w:t>Santo Spirito</w:t>
      </w:r>
    </w:p>
    <w:p w14:paraId="652DA1C7" w14:textId="37EB4C56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Scala del Bovolo</w:t>
      </w:r>
    </w:p>
    <w:p w14:paraId="72670434" w14:textId="401E5AE5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Scuola Canton</w:t>
      </w:r>
    </w:p>
    <w:p w14:paraId="1303A12E" w14:textId="07E75769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Scuola Dalmata</w:t>
      </w:r>
    </w:p>
    <w:p w14:paraId="3F467317" w14:textId="40CC9017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Scuola dei Carmini</w:t>
      </w:r>
    </w:p>
    <w:p w14:paraId="3ED6D1A3" w14:textId="3947622C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Scuola di San Giovanni Evangelista</w:t>
      </w:r>
    </w:p>
    <w:p w14:paraId="56680E63" w14:textId="5F36778D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Scuola Grande dei Carmini</w:t>
      </w:r>
    </w:p>
    <w:p w14:paraId="6C2E503B" w14:textId="6DD3DF53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Sinagoga di Siena</w:t>
      </w:r>
    </w:p>
    <w:p w14:paraId="0811016D" w14:textId="5AD555CE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Spoleto</w:t>
      </w:r>
    </w:p>
    <w:p w14:paraId="064849F6" w14:textId="44FFE945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Tempio di Ercole – 1996</w:t>
      </w:r>
    </w:p>
    <w:p w14:paraId="2BB406F8" w14:textId="7A508AA7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Tempio di Portuno – 2006</w:t>
      </w:r>
    </w:p>
    <w:p w14:paraId="6BA47538" w14:textId="63D528DE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Catacombe Ebraiche Torlonia</w:t>
      </w:r>
    </w:p>
    <w:p w14:paraId="5D31B0FE" w14:textId="5892F2AA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Chiesa dei Tre Ieraci</w:t>
      </w:r>
    </w:p>
    <w:p w14:paraId="6FAB2B02" w14:textId="326ABA53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Città del Tufo e Vie Cave</w:t>
      </w:r>
    </w:p>
    <w:p w14:paraId="39D9D4B7" w14:textId="7F4FCA3C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 xml:space="preserve">Ghetto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Ebraico</w:t>
      </w:r>
      <w:proofErr w:type="spellEnd"/>
      <w:r w:rsidRPr="58E0EE24">
        <w:rPr>
          <w:rFonts w:ascii="Helvetica" w:eastAsia="Helvetica" w:hAnsi="Helvetica" w:cs="Helvetica"/>
          <w:sz w:val="22"/>
          <w:szCs w:val="22"/>
        </w:rPr>
        <w:t xml:space="preserve"> Nuovo di Venezia</w:t>
      </w:r>
    </w:p>
    <w:p w14:paraId="40B2D9A5" w14:textId="27C18923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Sinagoga Veneziana</w:t>
      </w:r>
    </w:p>
    <w:p w14:paraId="19C47591" w14:textId="24B5899C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Villa dei Vescovi</w:t>
      </w:r>
    </w:p>
    <w:p w14:paraId="6C86A0AC" w14:textId="7495F45B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Villa Medicea di Castello con Giardini</w:t>
      </w:r>
    </w:p>
    <w:p w14:paraId="735D17D5" w14:textId="330ADC6C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 xml:space="preserve">Villa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Pojana</w:t>
      </w:r>
      <w:proofErr w:type="spellEnd"/>
    </w:p>
    <w:p w14:paraId="73E5A1AB" w14:textId="2143E1B7" w:rsidR="00444935" w:rsidRPr="00DA76D3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Ville e Palazzi Privati Aperti al Pubblico nel Veneto</w:t>
      </w:r>
    </w:p>
    <w:p w14:paraId="04621EF0" w14:textId="4E64EC32" w:rsidR="00444935" w:rsidRPr="00FB64E9" w:rsidRDefault="1598B2C2" w:rsidP="004D32A3">
      <w:pPr>
        <w:pStyle w:val="Paragrafoelenco"/>
        <w:numPr>
          <w:ilvl w:val="0"/>
          <w:numId w:val="2"/>
        </w:numPr>
        <w:spacing w:before="240" w:after="24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 xml:space="preserve">Centro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Visitatori</w:t>
      </w:r>
      <w:proofErr w:type="spellEnd"/>
    </w:p>
    <w:p w14:paraId="0ABF9C9C" w14:textId="77777777" w:rsidR="00BA2FB0" w:rsidRDefault="00BA2FB0" w:rsidP="00BA2FB0">
      <w:pPr>
        <w:rPr>
          <w:rFonts w:ascii="Helvetica" w:hAnsi="Helvetica"/>
          <w:b/>
          <w:bCs/>
          <w:color w:val="000000" w:themeColor="text1"/>
          <w:sz w:val="22"/>
          <w:szCs w:val="22"/>
        </w:rPr>
        <w:sectPr w:rsidR="00BA2FB0" w:rsidSect="00565D0B">
          <w:headerReference w:type="first" r:id="rId15"/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4AD92EF4" w14:textId="77777777" w:rsidR="00B75405" w:rsidRDefault="00B75405" w:rsidP="58E0EE24">
      <w:pPr>
        <w:rPr>
          <w:rFonts w:ascii="Helvetica" w:eastAsia="Helvetica" w:hAnsi="Helvetica" w:cs="Helvetica"/>
          <w:b/>
          <w:bCs/>
          <w:color w:val="000000" w:themeColor="text1"/>
          <w:sz w:val="22"/>
          <w:szCs w:val="22"/>
        </w:rPr>
      </w:pPr>
    </w:p>
    <w:p w14:paraId="3E2A6D4A" w14:textId="0096C5A2" w:rsidR="00B75405" w:rsidRDefault="1F15D775" w:rsidP="58E0EE24">
      <w:pPr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</w:rPr>
        <w:t>ELENCO COMPLETO DEI SITI WATCH IN ITALIA</w:t>
      </w:r>
      <w:r w:rsidR="00BA2FB0">
        <w:br/>
      </w:r>
      <w:r w:rsidR="57905B90" w:rsidRPr="58E0EE24">
        <w:rPr>
          <w:rFonts w:ascii="Helvetica" w:eastAsia="Helvetica" w:hAnsi="Helvetica" w:cs="Helvetica"/>
          <w:sz w:val="22"/>
          <w:szCs w:val="22"/>
        </w:rPr>
        <w:t>Il World Monuments Fund ha incluso 42 siti in Italia nel World Monuments Watch</w:t>
      </w:r>
    </w:p>
    <w:p w14:paraId="17E7E50A" w14:textId="4F9B47CE" w:rsidR="57905B90" w:rsidRDefault="57905B90" w:rsidP="58E0EE24">
      <w:pPr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1996</w:t>
      </w:r>
    </w:p>
    <w:p w14:paraId="5636A111" w14:textId="740C6793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Antica Pompei</w:t>
      </w:r>
    </w:p>
    <w:p w14:paraId="158570C9" w14:textId="6B8B4CFF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Monumento a Bartolomeo Colleoni, Venezia</w:t>
      </w:r>
    </w:p>
    <w:p w14:paraId="1760089C" w14:textId="0F4D6F0C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Domus Arena, Roma</w:t>
      </w:r>
    </w:p>
    <w:p w14:paraId="4A44DFB8" w14:textId="13AB71D1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Giardini della Villa Medicea di Castello, Firenze</w:t>
      </w:r>
    </w:p>
    <w:p w14:paraId="0F2FD01B" w14:textId="2E763B67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Grotte di San Michele, Salerno</w:t>
      </w:r>
    </w:p>
    <w:p w14:paraId="014303C6" w14:textId="18B3D07E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Basilica Neopitagorica, Roma</w:t>
      </w:r>
    </w:p>
    <w:p w14:paraId="6C1DA7A5" w14:textId="4C45949B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Rovine sul Fiume Centa, Albenga (Savona)</w:t>
      </w:r>
    </w:p>
    <w:p w14:paraId="7C4A3059" w14:textId="37B780B4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Portico di San Giacomo Maggiore, Bologna</w:t>
      </w:r>
    </w:p>
    <w:p w14:paraId="7AF9C776" w14:textId="37991D5F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Ipogeo di Santa Maria in Stelle, Verona</w:t>
      </w:r>
    </w:p>
    <w:p w14:paraId="225ADBCE" w14:textId="7B6C74C0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Santi Ambrogio e Carlo al Corso, Roma</w:t>
      </w:r>
    </w:p>
    <w:p w14:paraId="511DF679" w14:textId="4C3EEE04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Tempio di Ercole, Roma</w:t>
      </w:r>
    </w:p>
    <w:p w14:paraId="061A967A" w14:textId="5A168237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1998</w:t>
      </w:r>
    </w:p>
    <w:p w14:paraId="6A9A596B" w14:textId="1E6C83F2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Antica Pompei</w:t>
      </w:r>
    </w:p>
    <w:p w14:paraId="1B330412" w14:textId="7D22E04F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Arco di Traiano, Ancona</w:t>
      </w:r>
    </w:p>
    <w:p w14:paraId="3D730A20" w14:textId="47BA6A1A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Orto Botanico dell'Università di Padova, Padova</w:t>
      </w:r>
    </w:p>
    <w:p w14:paraId="46ADD76E" w14:textId="3B8AAB51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Tombe Dipinte Etrusche di Tarquinia, Tarquinia</w:t>
      </w:r>
    </w:p>
    <w:p w14:paraId="5759CFE3" w14:textId="6EFFC7FD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Limonaia ai Giardini di Boboli e Giardino della Villa Medicea, Firenze</w:t>
      </w:r>
    </w:p>
    <w:p w14:paraId="3AEB34BB" w14:textId="3FD82303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 xml:space="preserve">Basilica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Neopitagorica</w:t>
      </w:r>
      <w:proofErr w:type="spellEnd"/>
      <w:r w:rsidRPr="58E0EE24">
        <w:rPr>
          <w:rFonts w:ascii="Helvetica" w:eastAsia="Helvetica" w:hAnsi="Helvetica" w:cs="Helvetica"/>
          <w:sz w:val="22"/>
          <w:szCs w:val="22"/>
        </w:rPr>
        <w:t>, Roma</w:t>
      </w:r>
    </w:p>
    <w:p w14:paraId="2165E6A1" w14:textId="313DF8EB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Palazzo Doria Pamphilj, Valmontone</w:t>
      </w:r>
    </w:p>
    <w:p w14:paraId="16D90ADA" w14:textId="4EC65098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Chiese Rupestri di Matera, Matera</w:t>
      </w:r>
    </w:p>
    <w:p w14:paraId="04D00685" w14:textId="24293D27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Celle del Carcere di Terra del Sole, Castrocaro Terme e Terra del Sole</w:t>
      </w:r>
    </w:p>
    <w:p w14:paraId="6EAEF162" w14:textId="77659EBD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2000</w:t>
      </w:r>
    </w:p>
    <w:p w14:paraId="70456147" w14:textId="447A5C20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lastRenderedPageBreak/>
        <w:t>Antica Pompei</w:t>
      </w:r>
    </w:p>
    <w:p w14:paraId="3900B354" w14:textId="69976573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Ponte delle Catene, Bagni di Lucca</w:t>
      </w:r>
    </w:p>
    <w:p w14:paraId="2959F5E5" w14:textId="514C8E2E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Cinque Terre, Liguria</w:t>
      </w:r>
    </w:p>
    <w:p w14:paraId="0BD705E5" w14:textId="7289506B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Chiostro dei Santi Quattro Coronati, Roma</w:t>
      </w:r>
    </w:p>
    <w:p w14:paraId="2B139CBF" w14:textId="770CD36F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2002</w:t>
      </w:r>
    </w:p>
    <w:p w14:paraId="4E353508" w14:textId="2B2C1F5E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Ponte delle Catene, Bagni di Lucca</w:t>
      </w:r>
    </w:p>
    <w:p w14:paraId="7E8A580B" w14:textId="62D656A3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Cinque Terre, Liguria</w:t>
      </w:r>
    </w:p>
    <w:p w14:paraId="01A116FD" w14:textId="1C53210D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Parco Archeologico del Porto di Traiano, Fiumicino</w:t>
      </w:r>
    </w:p>
    <w:p w14:paraId="43A50CCD" w14:textId="1CD775D7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2006</w:t>
      </w:r>
    </w:p>
    <w:p w14:paraId="7747D05B" w14:textId="419C4B38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Accademia della Villa Adriana, Tivoli</w:t>
      </w:r>
    </w:p>
    <w:p w14:paraId="724A103F" w14:textId="6EB15F10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Cimitero Acattolico, Roma</w:t>
      </w:r>
    </w:p>
    <w:p w14:paraId="6B326AE6" w14:textId="282A87DA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Civita di Bagnoregio</w:t>
      </w:r>
    </w:p>
    <w:p w14:paraId="7A4657CF" w14:textId="32A28F01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Murgia dei Trulli, Valle d'Itria</w:t>
      </w:r>
    </w:p>
    <w:p w14:paraId="3CA74038" w14:textId="3AB786D8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Parco Archeologico del Porto di Traiano, Fiumicino</w:t>
      </w:r>
    </w:p>
    <w:p w14:paraId="65AD5FA9" w14:textId="28B1F463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Palazzo Reale di Portici, Napoli</w:t>
      </w:r>
    </w:p>
    <w:p w14:paraId="6E0B6E90" w14:textId="1E3CD670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Ipogeo di Santa Maria in Stelle, Verona</w:t>
      </w:r>
    </w:p>
    <w:p w14:paraId="1A951DD6" w14:textId="4537E665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 xml:space="preserve">Tempio di </w:t>
      </w:r>
      <w:proofErr w:type="spellStart"/>
      <w:r w:rsidRPr="58E0EE24">
        <w:rPr>
          <w:rFonts w:ascii="Helvetica" w:eastAsia="Helvetica" w:hAnsi="Helvetica" w:cs="Helvetica"/>
          <w:sz w:val="22"/>
          <w:szCs w:val="22"/>
        </w:rPr>
        <w:t>Portuno</w:t>
      </w:r>
      <w:proofErr w:type="spellEnd"/>
      <w:r w:rsidRPr="58E0EE24">
        <w:rPr>
          <w:rFonts w:ascii="Helvetica" w:eastAsia="Helvetica" w:hAnsi="Helvetica" w:cs="Helvetica"/>
          <w:sz w:val="22"/>
          <w:szCs w:val="22"/>
        </w:rPr>
        <w:t>, Roma</w:t>
      </w:r>
    </w:p>
    <w:p w14:paraId="53D669E6" w14:textId="298BF004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2008</w:t>
      </w:r>
    </w:p>
    <w:p w14:paraId="24E08BA4" w14:textId="6713AE02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Ninfeo Farnese, Roma</w:t>
      </w:r>
    </w:p>
    <w:p w14:paraId="1DDF730D" w14:textId="32FC703A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Forte di Fenestrelle, Torino</w:t>
      </w:r>
    </w:p>
    <w:p w14:paraId="1AE33A49" w14:textId="6912E69E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Paesaggio Culturale della Transumanza, Regione Molise</w:t>
      </w:r>
    </w:p>
    <w:p w14:paraId="1709C696" w14:textId="0DAF770A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2010</w:t>
      </w:r>
    </w:p>
    <w:p w14:paraId="25420665" w14:textId="3725694D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Centro Storico di Craco</w:t>
      </w:r>
    </w:p>
    <w:p w14:paraId="2830F51C" w14:textId="3020B313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Ponte Lucano, Tivoli</w:t>
      </w:r>
    </w:p>
    <w:p w14:paraId="69B4F664" w14:textId="7DC88AD2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Villa di San Gilio, Oppido Lucano</w:t>
      </w:r>
    </w:p>
    <w:p w14:paraId="748727F8" w14:textId="6C3C81E7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2014</w:t>
      </w:r>
    </w:p>
    <w:p w14:paraId="796E52E4" w14:textId="68611D09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Uccelliere Farnese, Roma</w:t>
      </w:r>
    </w:p>
    <w:p w14:paraId="3F95971E" w14:textId="6ECC6579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Centro Storico de L'Aquila</w:t>
      </w:r>
    </w:p>
    <w:p w14:paraId="74A2FC04" w14:textId="6931B95A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Muro dei Francesi, Ciampino</w:t>
      </w:r>
    </w:p>
    <w:p w14:paraId="38DBC3B6" w14:textId="723A6247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Venezia</w:t>
      </w:r>
    </w:p>
    <w:p w14:paraId="11039D7E" w14:textId="4564FEAF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t>2016</w:t>
      </w:r>
    </w:p>
    <w:p w14:paraId="7074A3A8" w14:textId="38BED62F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Arco di Giano, Roma</w:t>
      </w:r>
    </w:p>
    <w:p w14:paraId="4313CC77" w14:textId="5DC64B6E" w:rsidR="57905B90" w:rsidRPr="00DA76D3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  <w:lang w:val="it-IT"/>
        </w:rPr>
      </w:pPr>
      <w:r w:rsidRPr="00DA76D3">
        <w:rPr>
          <w:rFonts w:ascii="Helvetica" w:eastAsia="Helvetica" w:hAnsi="Helvetica" w:cs="Helvetica"/>
          <w:sz w:val="22"/>
          <w:szCs w:val="22"/>
          <w:lang w:val="it-IT"/>
        </w:rPr>
        <w:t>Campi di Concentramento della Seconda Guerra Mondiale in Italia</w:t>
      </w:r>
    </w:p>
    <w:p w14:paraId="0A294B50" w14:textId="5A8DD889" w:rsidR="57905B90" w:rsidRDefault="57905B90" w:rsidP="58E0EE24">
      <w:pPr>
        <w:spacing w:before="240" w:after="240"/>
        <w:rPr>
          <w:rFonts w:ascii="Helvetica" w:eastAsia="Helvetica" w:hAnsi="Helvetica" w:cs="Helvetica"/>
          <w:b/>
          <w:bCs/>
          <w:sz w:val="22"/>
          <w:szCs w:val="22"/>
        </w:rPr>
      </w:pPr>
      <w:r w:rsidRPr="58E0EE24">
        <w:rPr>
          <w:rFonts w:ascii="Helvetica" w:eastAsia="Helvetica" w:hAnsi="Helvetica" w:cs="Helvetica"/>
          <w:b/>
          <w:bCs/>
          <w:sz w:val="22"/>
          <w:szCs w:val="22"/>
        </w:rPr>
        <w:lastRenderedPageBreak/>
        <w:t>2018</w:t>
      </w:r>
    </w:p>
    <w:p w14:paraId="2AD03DBD" w14:textId="6FA79BD6" w:rsidR="57905B90" w:rsidRDefault="57905B90" w:rsidP="004D32A3">
      <w:pPr>
        <w:pStyle w:val="Paragrafoelenco"/>
        <w:numPr>
          <w:ilvl w:val="0"/>
          <w:numId w:val="3"/>
        </w:numPr>
        <w:spacing w:after="0"/>
        <w:rPr>
          <w:rFonts w:ascii="Helvetica" w:eastAsia="Helvetica" w:hAnsi="Helvetica" w:cs="Helvetica"/>
          <w:sz w:val="22"/>
          <w:szCs w:val="22"/>
        </w:rPr>
      </w:pPr>
      <w:r w:rsidRPr="58E0EE24">
        <w:rPr>
          <w:rFonts w:ascii="Helvetica" w:eastAsia="Helvetica" w:hAnsi="Helvetica" w:cs="Helvetica"/>
          <w:sz w:val="22"/>
          <w:szCs w:val="22"/>
        </w:rPr>
        <w:t>Amatrice</w:t>
      </w:r>
    </w:p>
    <w:p w14:paraId="3C9BCF73" w14:textId="11C49E9C" w:rsidR="58E0EE24" w:rsidRDefault="58E0EE24" w:rsidP="58E0EE24">
      <w:pPr>
        <w:pStyle w:val="Paragrafoelenco"/>
        <w:rPr>
          <w:rFonts w:ascii="Helvetica" w:eastAsia="Helvetica" w:hAnsi="Helvetica" w:cs="Helvetica"/>
          <w:color w:val="000000" w:themeColor="text1"/>
          <w:sz w:val="22"/>
          <w:szCs w:val="22"/>
        </w:rPr>
      </w:pPr>
    </w:p>
    <w:sectPr w:rsidR="58E0EE24" w:rsidSect="00BA2FB0">
      <w:headerReference w:type="first" r:id="rId16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E5728" w14:textId="77777777" w:rsidR="004D32A3" w:rsidRDefault="004D32A3">
      <w:pPr>
        <w:spacing w:after="0" w:line="240" w:lineRule="auto"/>
      </w:pPr>
      <w:r>
        <w:separator/>
      </w:r>
    </w:p>
  </w:endnote>
  <w:endnote w:type="continuationSeparator" w:id="0">
    <w:p w14:paraId="041E1499" w14:textId="77777777" w:rsidR="004D32A3" w:rsidRDefault="004D3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72 Book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54B4F30" w14:paraId="611E4F2D" w14:textId="77777777" w:rsidTr="454B4F30">
      <w:trPr>
        <w:trHeight w:val="300"/>
      </w:trPr>
      <w:tc>
        <w:tcPr>
          <w:tcW w:w="3120" w:type="dxa"/>
        </w:tcPr>
        <w:p w14:paraId="16177A2E" w14:textId="77777777" w:rsidR="454B4F30" w:rsidRDefault="454B4F30" w:rsidP="454B4F30">
          <w:pPr>
            <w:pStyle w:val="Intestazione"/>
            <w:ind w:left="-115"/>
          </w:pPr>
        </w:p>
      </w:tc>
      <w:tc>
        <w:tcPr>
          <w:tcW w:w="3120" w:type="dxa"/>
        </w:tcPr>
        <w:p w14:paraId="1DB6EA74" w14:textId="77777777" w:rsidR="454B4F30" w:rsidRDefault="454B4F30" w:rsidP="454B4F30">
          <w:pPr>
            <w:pStyle w:val="Intestazione"/>
            <w:jc w:val="center"/>
          </w:pPr>
        </w:p>
      </w:tc>
      <w:tc>
        <w:tcPr>
          <w:tcW w:w="3120" w:type="dxa"/>
        </w:tcPr>
        <w:p w14:paraId="0D4D14A9" w14:textId="77777777" w:rsidR="454B4F30" w:rsidRDefault="454B4F30" w:rsidP="454B4F30">
          <w:pPr>
            <w:pStyle w:val="Intestazione"/>
            <w:ind w:right="-115"/>
            <w:jc w:val="right"/>
          </w:pPr>
        </w:p>
      </w:tc>
    </w:tr>
  </w:tbl>
  <w:p w14:paraId="62D0673F" w14:textId="77777777" w:rsidR="454B4F30" w:rsidRDefault="454B4F30" w:rsidP="454B4F3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54B4F30" w14:paraId="47910F6F" w14:textId="77777777" w:rsidTr="454B4F30">
      <w:trPr>
        <w:trHeight w:val="300"/>
      </w:trPr>
      <w:tc>
        <w:tcPr>
          <w:tcW w:w="3120" w:type="dxa"/>
        </w:tcPr>
        <w:p w14:paraId="0040BE92" w14:textId="77777777" w:rsidR="454B4F30" w:rsidRDefault="454B4F30" w:rsidP="454B4F30">
          <w:pPr>
            <w:pStyle w:val="Intestazione"/>
            <w:ind w:left="-115"/>
          </w:pPr>
        </w:p>
      </w:tc>
      <w:tc>
        <w:tcPr>
          <w:tcW w:w="3120" w:type="dxa"/>
        </w:tcPr>
        <w:p w14:paraId="4EDB9E43" w14:textId="77777777" w:rsidR="454B4F30" w:rsidRDefault="454B4F30" w:rsidP="454B4F30">
          <w:pPr>
            <w:pStyle w:val="Intestazione"/>
            <w:jc w:val="center"/>
          </w:pPr>
        </w:p>
      </w:tc>
      <w:tc>
        <w:tcPr>
          <w:tcW w:w="3120" w:type="dxa"/>
        </w:tcPr>
        <w:p w14:paraId="5A534529" w14:textId="77777777" w:rsidR="454B4F30" w:rsidRDefault="454B4F30" w:rsidP="454B4F30">
          <w:pPr>
            <w:pStyle w:val="Intestazione"/>
            <w:ind w:right="-115"/>
            <w:jc w:val="right"/>
          </w:pPr>
        </w:p>
      </w:tc>
    </w:tr>
  </w:tbl>
  <w:p w14:paraId="2309F17D" w14:textId="77777777" w:rsidR="454B4F30" w:rsidRDefault="454B4F30" w:rsidP="454B4F3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29384" w14:textId="77777777" w:rsidR="004D32A3" w:rsidRDefault="004D32A3">
      <w:pPr>
        <w:spacing w:after="0" w:line="240" w:lineRule="auto"/>
      </w:pPr>
      <w:r>
        <w:separator/>
      </w:r>
    </w:p>
  </w:footnote>
  <w:footnote w:type="continuationSeparator" w:id="0">
    <w:p w14:paraId="2CD1ED8D" w14:textId="77777777" w:rsidR="004D32A3" w:rsidRDefault="004D3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54B4F30" w14:paraId="6F288951" w14:textId="77777777" w:rsidTr="454B4F30">
      <w:trPr>
        <w:trHeight w:val="300"/>
      </w:trPr>
      <w:tc>
        <w:tcPr>
          <w:tcW w:w="3120" w:type="dxa"/>
        </w:tcPr>
        <w:p w14:paraId="3D44637E" w14:textId="77777777" w:rsidR="454B4F30" w:rsidRDefault="454B4F30" w:rsidP="454B4F30">
          <w:pPr>
            <w:pStyle w:val="Intestazione"/>
            <w:ind w:left="-115"/>
          </w:pPr>
        </w:p>
      </w:tc>
      <w:tc>
        <w:tcPr>
          <w:tcW w:w="3120" w:type="dxa"/>
        </w:tcPr>
        <w:p w14:paraId="03A99DF0" w14:textId="77777777" w:rsidR="454B4F30" w:rsidRDefault="454B4F30" w:rsidP="454B4F30">
          <w:pPr>
            <w:pStyle w:val="Intestazione"/>
            <w:jc w:val="center"/>
          </w:pPr>
        </w:p>
      </w:tc>
      <w:tc>
        <w:tcPr>
          <w:tcW w:w="3120" w:type="dxa"/>
        </w:tcPr>
        <w:p w14:paraId="1D1CA667" w14:textId="77777777" w:rsidR="454B4F30" w:rsidRDefault="454B4F30" w:rsidP="454B4F30">
          <w:pPr>
            <w:pStyle w:val="Intestazione"/>
            <w:ind w:right="-115"/>
            <w:jc w:val="right"/>
          </w:pPr>
        </w:p>
      </w:tc>
    </w:tr>
  </w:tbl>
  <w:p w14:paraId="0128E8B5" w14:textId="77777777" w:rsidR="454B4F30" w:rsidRDefault="454B4F30" w:rsidP="454B4F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54B4F30" w14:paraId="06F21C98" w14:textId="77777777" w:rsidTr="454B4F30">
      <w:trPr>
        <w:trHeight w:val="300"/>
      </w:trPr>
      <w:tc>
        <w:tcPr>
          <w:tcW w:w="3120" w:type="dxa"/>
        </w:tcPr>
        <w:p w14:paraId="0DB55D8E" w14:textId="77777777" w:rsidR="454B4F30" w:rsidRDefault="454B4F30" w:rsidP="454B4F30">
          <w:pPr>
            <w:pStyle w:val="Intestazione"/>
            <w:ind w:left="-115"/>
          </w:pPr>
        </w:p>
      </w:tc>
      <w:tc>
        <w:tcPr>
          <w:tcW w:w="3120" w:type="dxa"/>
        </w:tcPr>
        <w:p w14:paraId="01D2BC6C" w14:textId="77777777" w:rsidR="454B4F30" w:rsidRDefault="454B4F30" w:rsidP="454B4F30">
          <w:pPr>
            <w:pStyle w:val="Intestazione"/>
            <w:jc w:val="center"/>
          </w:pPr>
        </w:p>
      </w:tc>
      <w:tc>
        <w:tcPr>
          <w:tcW w:w="3120" w:type="dxa"/>
        </w:tcPr>
        <w:p w14:paraId="0C9338AE" w14:textId="77777777" w:rsidR="454B4F30" w:rsidRDefault="454B4F30" w:rsidP="454B4F30">
          <w:pPr>
            <w:pStyle w:val="Intestazione"/>
            <w:ind w:right="-115"/>
            <w:jc w:val="right"/>
          </w:pPr>
        </w:p>
      </w:tc>
    </w:tr>
  </w:tbl>
  <w:p w14:paraId="113FB23A" w14:textId="77777777" w:rsidR="454B4F30" w:rsidRDefault="00BA2FB0" w:rsidP="454B4F30">
    <w:pPr>
      <w:pStyle w:val="Intestazione"/>
    </w:pPr>
    <w:r>
      <w:rPr>
        <w:noProof/>
      </w:rPr>
      <w:drawing>
        <wp:inline distT="0" distB="0" distL="0" distR="0" wp14:anchorId="63CF9FEE" wp14:editId="2F374714">
          <wp:extent cx="1552575" cy="571500"/>
          <wp:effectExtent l="0" t="0" r="0" b="0"/>
          <wp:docPr id="1268869185" name="drawing" title="World Monuments Fund | Climateba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3739467" name="Picture 5837394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257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286BEA" w14:paraId="161F50FD" w14:textId="77777777" w:rsidTr="454B4F30">
      <w:trPr>
        <w:trHeight w:val="300"/>
      </w:trPr>
      <w:tc>
        <w:tcPr>
          <w:tcW w:w="3120" w:type="dxa"/>
        </w:tcPr>
        <w:p w14:paraId="4B102976" w14:textId="77777777" w:rsidR="00286BEA" w:rsidRDefault="00286BEA" w:rsidP="454B4F30">
          <w:pPr>
            <w:pStyle w:val="Intestazione"/>
            <w:ind w:left="-115"/>
          </w:pPr>
        </w:p>
      </w:tc>
      <w:tc>
        <w:tcPr>
          <w:tcW w:w="3120" w:type="dxa"/>
        </w:tcPr>
        <w:p w14:paraId="46136DB5" w14:textId="77777777" w:rsidR="00286BEA" w:rsidRDefault="00286BEA" w:rsidP="454B4F30">
          <w:pPr>
            <w:pStyle w:val="Intestazione"/>
            <w:jc w:val="center"/>
          </w:pPr>
        </w:p>
      </w:tc>
      <w:tc>
        <w:tcPr>
          <w:tcW w:w="3120" w:type="dxa"/>
        </w:tcPr>
        <w:p w14:paraId="72648A6C" w14:textId="77777777" w:rsidR="00286BEA" w:rsidRDefault="00286BEA" w:rsidP="454B4F30">
          <w:pPr>
            <w:pStyle w:val="Intestazione"/>
            <w:ind w:right="-115"/>
            <w:jc w:val="right"/>
          </w:pPr>
        </w:p>
      </w:tc>
    </w:tr>
  </w:tbl>
  <w:p w14:paraId="4A72C836" w14:textId="77777777" w:rsidR="00286BEA" w:rsidRDefault="00286BEA" w:rsidP="454B4F30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1468FF" w14:paraId="3C26BE2A" w14:textId="77777777" w:rsidTr="454B4F30">
      <w:trPr>
        <w:trHeight w:val="300"/>
      </w:trPr>
      <w:tc>
        <w:tcPr>
          <w:tcW w:w="3120" w:type="dxa"/>
        </w:tcPr>
        <w:p w14:paraId="7635DB75" w14:textId="77777777" w:rsidR="001468FF" w:rsidRDefault="001468FF" w:rsidP="454B4F30">
          <w:pPr>
            <w:pStyle w:val="Intestazione"/>
            <w:ind w:left="-115"/>
          </w:pPr>
        </w:p>
      </w:tc>
      <w:tc>
        <w:tcPr>
          <w:tcW w:w="3120" w:type="dxa"/>
        </w:tcPr>
        <w:p w14:paraId="0B311F21" w14:textId="77777777" w:rsidR="001468FF" w:rsidRDefault="001468FF" w:rsidP="454B4F30">
          <w:pPr>
            <w:pStyle w:val="Intestazione"/>
            <w:jc w:val="center"/>
          </w:pPr>
        </w:p>
      </w:tc>
      <w:tc>
        <w:tcPr>
          <w:tcW w:w="3120" w:type="dxa"/>
        </w:tcPr>
        <w:p w14:paraId="7683DF9F" w14:textId="77777777" w:rsidR="001468FF" w:rsidRDefault="001468FF" w:rsidP="454B4F30">
          <w:pPr>
            <w:pStyle w:val="Intestazione"/>
            <w:ind w:right="-115"/>
            <w:jc w:val="right"/>
          </w:pPr>
        </w:p>
      </w:tc>
    </w:tr>
  </w:tbl>
  <w:p w14:paraId="355A1E36" w14:textId="77777777" w:rsidR="001468FF" w:rsidRDefault="001468FF" w:rsidP="454B4F30">
    <w:pPr>
      <w:pStyle w:val="Intestazion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703"/>
    <w:multiLevelType w:val="hybridMultilevel"/>
    <w:tmpl w:val="5E567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87B87"/>
    <w:multiLevelType w:val="multilevel"/>
    <w:tmpl w:val="661E2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1ACF1D"/>
    <w:multiLevelType w:val="hybridMultilevel"/>
    <w:tmpl w:val="6DB2ADDA"/>
    <w:lvl w:ilvl="0" w:tplc="F4DAE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147B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2C28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2E06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E9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205A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86E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5A31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1CD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70DE8"/>
    <w:multiLevelType w:val="multilevel"/>
    <w:tmpl w:val="83945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0A2611"/>
    <w:multiLevelType w:val="hybridMultilevel"/>
    <w:tmpl w:val="3A7AC0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5150E"/>
    <w:multiLevelType w:val="hybridMultilevel"/>
    <w:tmpl w:val="C46A8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BF190A"/>
    <w:multiLevelType w:val="hybridMultilevel"/>
    <w:tmpl w:val="93E2B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33B55"/>
    <w:multiLevelType w:val="multilevel"/>
    <w:tmpl w:val="D3E0F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F794927"/>
    <w:multiLevelType w:val="hybridMultilevel"/>
    <w:tmpl w:val="1CA2D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08010E"/>
    <w:multiLevelType w:val="hybridMultilevel"/>
    <w:tmpl w:val="3754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D4159F"/>
    <w:multiLevelType w:val="multilevel"/>
    <w:tmpl w:val="5A20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F680C7F"/>
    <w:multiLevelType w:val="hybridMultilevel"/>
    <w:tmpl w:val="28C4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797527">
    <w:abstractNumId w:val="2"/>
  </w:num>
  <w:num w:numId="2" w16cid:durableId="1237594694">
    <w:abstractNumId w:val="4"/>
  </w:num>
  <w:num w:numId="3" w16cid:durableId="1231619335">
    <w:abstractNumId w:val="11"/>
  </w:num>
  <w:num w:numId="4" w16cid:durableId="885340283">
    <w:abstractNumId w:val="0"/>
  </w:num>
  <w:num w:numId="5" w16cid:durableId="342434684">
    <w:abstractNumId w:val="9"/>
  </w:num>
  <w:num w:numId="6" w16cid:durableId="512916954">
    <w:abstractNumId w:val="5"/>
  </w:num>
  <w:num w:numId="7" w16cid:durableId="635181860">
    <w:abstractNumId w:val="6"/>
  </w:num>
  <w:num w:numId="8" w16cid:durableId="455104190">
    <w:abstractNumId w:val="8"/>
  </w:num>
  <w:num w:numId="9" w16cid:durableId="2126119922">
    <w:abstractNumId w:val="10"/>
  </w:num>
  <w:num w:numId="10" w16cid:durableId="366612478">
    <w:abstractNumId w:val="1"/>
  </w:num>
  <w:num w:numId="11" w16cid:durableId="1495342387">
    <w:abstractNumId w:val="3"/>
  </w:num>
  <w:num w:numId="12" w16cid:durableId="1036850735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EFC8CD0"/>
    <w:rsid w:val="00011351"/>
    <w:rsid w:val="00017D30"/>
    <w:rsid w:val="00066B36"/>
    <w:rsid w:val="0008113A"/>
    <w:rsid w:val="00082DDC"/>
    <w:rsid w:val="000D2A73"/>
    <w:rsid w:val="000D56AD"/>
    <w:rsid w:val="000E7A87"/>
    <w:rsid w:val="00127D2B"/>
    <w:rsid w:val="001468FF"/>
    <w:rsid w:val="001C235A"/>
    <w:rsid w:val="00203952"/>
    <w:rsid w:val="00220242"/>
    <w:rsid w:val="002410CB"/>
    <w:rsid w:val="00275258"/>
    <w:rsid w:val="0028086A"/>
    <w:rsid w:val="00286BEA"/>
    <w:rsid w:val="002B52EA"/>
    <w:rsid w:val="002C1296"/>
    <w:rsid w:val="00301627"/>
    <w:rsid w:val="00304E81"/>
    <w:rsid w:val="003104B3"/>
    <w:rsid w:val="00311333"/>
    <w:rsid w:val="00320E08"/>
    <w:rsid w:val="00366625"/>
    <w:rsid w:val="00444935"/>
    <w:rsid w:val="0044CFE8"/>
    <w:rsid w:val="00476924"/>
    <w:rsid w:val="004C5617"/>
    <w:rsid w:val="004D32A3"/>
    <w:rsid w:val="00514563"/>
    <w:rsid w:val="005222EA"/>
    <w:rsid w:val="0053424F"/>
    <w:rsid w:val="0054100C"/>
    <w:rsid w:val="00553E68"/>
    <w:rsid w:val="00562E04"/>
    <w:rsid w:val="00565D0B"/>
    <w:rsid w:val="005869AE"/>
    <w:rsid w:val="005B3C2C"/>
    <w:rsid w:val="005B5943"/>
    <w:rsid w:val="005C18AA"/>
    <w:rsid w:val="005E1468"/>
    <w:rsid w:val="005E1CD2"/>
    <w:rsid w:val="005F644F"/>
    <w:rsid w:val="006042FA"/>
    <w:rsid w:val="006368DA"/>
    <w:rsid w:val="00683FA8"/>
    <w:rsid w:val="006A1323"/>
    <w:rsid w:val="006B79E4"/>
    <w:rsid w:val="006D1445"/>
    <w:rsid w:val="006D4EFF"/>
    <w:rsid w:val="00705FC1"/>
    <w:rsid w:val="00733C3B"/>
    <w:rsid w:val="0074399F"/>
    <w:rsid w:val="007635F3"/>
    <w:rsid w:val="00786CB1"/>
    <w:rsid w:val="00794E7C"/>
    <w:rsid w:val="007A51DB"/>
    <w:rsid w:val="007C3D75"/>
    <w:rsid w:val="007D2D3F"/>
    <w:rsid w:val="007D7EC0"/>
    <w:rsid w:val="007E38CF"/>
    <w:rsid w:val="007F754C"/>
    <w:rsid w:val="008078A3"/>
    <w:rsid w:val="00833A7D"/>
    <w:rsid w:val="00867DB1"/>
    <w:rsid w:val="00897783"/>
    <w:rsid w:val="008D479B"/>
    <w:rsid w:val="00903B5E"/>
    <w:rsid w:val="009202F5"/>
    <w:rsid w:val="0094035B"/>
    <w:rsid w:val="00945BAC"/>
    <w:rsid w:val="009A74CD"/>
    <w:rsid w:val="009B66F0"/>
    <w:rsid w:val="009F6FE5"/>
    <w:rsid w:val="00A05754"/>
    <w:rsid w:val="00A1309B"/>
    <w:rsid w:val="00A55191"/>
    <w:rsid w:val="00A644A7"/>
    <w:rsid w:val="00AA5E28"/>
    <w:rsid w:val="00AC0E3D"/>
    <w:rsid w:val="00AE92E8"/>
    <w:rsid w:val="00AF1615"/>
    <w:rsid w:val="00B00ECB"/>
    <w:rsid w:val="00B02D52"/>
    <w:rsid w:val="00B1399A"/>
    <w:rsid w:val="00B17F68"/>
    <w:rsid w:val="00B33222"/>
    <w:rsid w:val="00B35609"/>
    <w:rsid w:val="00B4300A"/>
    <w:rsid w:val="00B62B9A"/>
    <w:rsid w:val="00B75405"/>
    <w:rsid w:val="00B83532"/>
    <w:rsid w:val="00B91F2F"/>
    <w:rsid w:val="00BA2FB0"/>
    <w:rsid w:val="00BE6372"/>
    <w:rsid w:val="00C04DF0"/>
    <w:rsid w:val="00C26C56"/>
    <w:rsid w:val="00C614BC"/>
    <w:rsid w:val="00C91C8F"/>
    <w:rsid w:val="00CA7247"/>
    <w:rsid w:val="00CB5946"/>
    <w:rsid w:val="00D063B1"/>
    <w:rsid w:val="00D57704"/>
    <w:rsid w:val="00D72033"/>
    <w:rsid w:val="00DA76D3"/>
    <w:rsid w:val="00DE4173"/>
    <w:rsid w:val="00DF2537"/>
    <w:rsid w:val="00E1170A"/>
    <w:rsid w:val="00E23A4D"/>
    <w:rsid w:val="00E373F4"/>
    <w:rsid w:val="00E4178F"/>
    <w:rsid w:val="00E5206F"/>
    <w:rsid w:val="00E92247"/>
    <w:rsid w:val="00E93A90"/>
    <w:rsid w:val="00EF37DD"/>
    <w:rsid w:val="00F1475D"/>
    <w:rsid w:val="00F15452"/>
    <w:rsid w:val="00F3382D"/>
    <w:rsid w:val="00F610AC"/>
    <w:rsid w:val="00F9142A"/>
    <w:rsid w:val="00F96255"/>
    <w:rsid w:val="00FA16F8"/>
    <w:rsid w:val="00FB64E9"/>
    <w:rsid w:val="00FE2046"/>
    <w:rsid w:val="010F7882"/>
    <w:rsid w:val="01240D4B"/>
    <w:rsid w:val="01290C9F"/>
    <w:rsid w:val="01F52878"/>
    <w:rsid w:val="02AD7486"/>
    <w:rsid w:val="04C49F06"/>
    <w:rsid w:val="04EA8FB8"/>
    <w:rsid w:val="07C5EFAB"/>
    <w:rsid w:val="08D6F9AC"/>
    <w:rsid w:val="0C363499"/>
    <w:rsid w:val="0D204E78"/>
    <w:rsid w:val="0DFEE0E6"/>
    <w:rsid w:val="0E51AE30"/>
    <w:rsid w:val="0FC6365C"/>
    <w:rsid w:val="0FD6EBE4"/>
    <w:rsid w:val="10435D62"/>
    <w:rsid w:val="11EA5E27"/>
    <w:rsid w:val="1271B90B"/>
    <w:rsid w:val="13A65C4D"/>
    <w:rsid w:val="14909307"/>
    <w:rsid w:val="1598B2C2"/>
    <w:rsid w:val="15E28840"/>
    <w:rsid w:val="1670A5A2"/>
    <w:rsid w:val="16DAFD49"/>
    <w:rsid w:val="17940A2D"/>
    <w:rsid w:val="17D91506"/>
    <w:rsid w:val="1A701CCF"/>
    <w:rsid w:val="1C65199D"/>
    <w:rsid w:val="1F15D775"/>
    <w:rsid w:val="20DB729F"/>
    <w:rsid w:val="21446657"/>
    <w:rsid w:val="2397109D"/>
    <w:rsid w:val="23AA255B"/>
    <w:rsid w:val="23C01552"/>
    <w:rsid w:val="258FC323"/>
    <w:rsid w:val="25B71A59"/>
    <w:rsid w:val="27D42F1A"/>
    <w:rsid w:val="28D87EE8"/>
    <w:rsid w:val="2957F5A1"/>
    <w:rsid w:val="29C53E3E"/>
    <w:rsid w:val="2BD0F1C7"/>
    <w:rsid w:val="2BD5A687"/>
    <w:rsid w:val="2CE298BE"/>
    <w:rsid w:val="2FB97049"/>
    <w:rsid w:val="3013949F"/>
    <w:rsid w:val="306219DD"/>
    <w:rsid w:val="312FE983"/>
    <w:rsid w:val="3172DBE6"/>
    <w:rsid w:val="32D0DB5C"/>
    <w:rsid w:val="33545FBC"/>
    <w:rsid w:val="352897F6"/>
    <w:rsid w:val="37B89E61"/>
    <w:rsid w:val="37DDD31E"/>
    <w:rsid w:val="385CD9F0"/>
    <w:rsid w:val="38ED187B"/>
    <w:rsid w:val="395DC542"/>
    <w:rsid w:val="3A6A949C"/>
    <w:rsid w:val="3A7A939F"/>
    <w:rsid w:val="3C4F59BD"/>
    <w:rsid w:val="3C560BE9"/>
    <w:rsid w:val="3CB7FFEF"/>
    <w:rsid w:val="3CBF1E24"/>
    <w:rsid w:val="3EFC8CD0"/>
    <w:rsid w:val="3F2AD3B5"/>
    <w:rsid w:val="3F5A5966"/>
    <w:rsid w:val="40408ED8"/>
    <w:rsid w:val="4135E99C"/>
    <w:rsid w:val="41A00014"/>
    <w:rsid w:val="4229E5F2"/>
    <w:rsid w:val="4398C075"/>
    <w:rsid w:val="4414F20B"/>
    <w:rsid w:val="44256FB7"/>
    <w:rsid w:val="44C89358"/>
    <w:rsid w:val="454B4F30"/>
    <w:rsid w:val="483ADDAE"/>
    <w:rsid w:val="48EB7F6A"/>
    <w:rsid w:val="49BE142D"/>
    <w:rsid w:val="4BEA1EE4"/>
    <w:rsid w:val="4BEA43A5"/>
    <w:rsid w:val="4C29580F"/>
    <w:rsid w:val="4D036569"/>
    <w:rsid w:val="4D5EA205"/>
    <w:rsid w:val="4D643056"/>
    <w:rsid w:val="4E6471DD"/>
    <w:rsid w:val="5128D216"/>
    <w:rsid w:val="53559F50"/>
    <w:rsid w:val="54085E0C"/>
    <w:rsid w:val="5461E360"/>
    <w:rsid w:val="57905B90"/>
    <w:rsid w:val="57FD92F2"/>
    <w:rsid w:val="58C2D188"/>
    <w:rsid w:val="58E0EE24"/>
    <w:rsid w:val="5AF6F154"/>
    <w:rsid w:val="5B086F29"/>
    <w:rsid w:val="5B866ED9"/>
    <w:rsid w:val="5C03DF00"/>
    <w:rsid w:val="5CF3D3A6"/>
    <w:rsid w:val="5DBE298E"/>
    <w:rsid w:val="5DDCE220"/>
    <w:rsid w:val="5DF12012"/>
    <w:rsid w:val="61414FC4"/>
    <w:rsid w:val="625BC5B3"/>
    <w:rsid w:val="626F97EC"/>
    <w:rsid w:val="634B754E"/>
    <w:rsid w:val="65DD3FDB"/>
    <w:rsid w:val="66463CE8"/>
    <w:rsid w:val="6767A53A"/>
    <w:rsid w:val="698BA50E"/>
    <w:rsid w:val="6A176EF5"/>
    <w:rsid w:val="6A6C409D"/>
    <w:rsid w:val="6B1D32D6"/>
    <w:rsid w:val="6B641FDB"/>
    <w:rsid w:val="6EC739E9"/>
    <w:rsid w:val="6FC39C35"/>
    <w:rsid w:val="70A0CCFD"/>
    <w:rsid w:val="70EF14B2"/>
    <w:rsid w:val="71CC4759"/>
    <w:rsid w:val="7377B081"/>
    <w:rsid w:val="75E1521B"/>
    <w:rsid w:val="76F89CCB"/>
    <w:rsid w:val="7838AE05"/>
    <w:rsid w:val="790534FB"/>
    <w:rsid w:val="79705DAC"/>
    <w:rsid w:val="7C3573E3"/>
    <w:rsid w:val="7D0A2C95"/>
    <w:rsid w:val="7E0D2AAB"/>
    <w:rsid w:val="7EC9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C8CD0"/>
  <w15:chartTrackingRefBased/>
  <w15:docId w15:val="{6240C330-5F8C-4ADB-A569-5A7EB2EA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F610A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11333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uiPriority w:val="99"/>
    <w:unhideWhenUsed/>
    <w:rsid w:val="454B4F30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basedOn w:val="Normale"/>
    <w:uiPriority w:val="99"/>
    <w:unhideWhenUsed/>
    <w:rsid w:val="454B4F30"/>
    <w:pPr>
      <w:tabs>
        <w:tab w:val="center" w:pos="4680"/>
        <w:tab w:val="right" w:pos="9360"/>
      </w:tabs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454B4F30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311333"/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61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CommentText">
    <w:name w:val="Comment Text"/>
    <w:basedOn w:val="Normale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Carpredefinitoparagrafo"/>
    <w:link w:val="CommentText"/>
    <w:uiPriority w:val="99"/>
    <w:semiHidden/>
    <w:rPr>
      <w:sz w:val="20"/>
      <w:szCs w:val="20"/>
    </w:rPr>
  </w:style>
  <w:style w:type="character" w:customStyle="1" w:styleId="CommentReference">
    <w:name w:val="Comment Reference"/>
    <w:basedOn w:val="Carpredefinitoparagrafo"/>
    <w:uiPriority w:val="99"/>
    <w:semiHidden/>
    <w:unhideWhenUsed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B17F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7F68"/>
    <w:rPr>
      <w:b/>
      <w:bCs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08113A"/>
    <w:rPr>
      <w:color w:val="467886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FE2046"/>
    <w:rPr>
      <w:color w:val="96607D" w:themeColor="followedHyperlink"/>
      <w:u w:val="single"/>
    </w:rPr>
  </w:style>
  <w:style w:type="paragraph" w:styleId="NormaleWeb">
    <w:name w:val="Normal (Web)"/>
    <w:basedOn w:val="Normale"/>
    <w:uiPriority w:val="99"/>
    <w:unhideWhenUsed/>
    <w:rsid w:val="00DA7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wmf.org/project/santa-maria-antiqua-church" TargetMode="External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f4d0fd-4a48-420a-9d9b-ef23aa42f17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44C2FC482FFF4887CE7EE2D0AA8D24" ma:contentTypeVersion="15" ma:contentTypeDescription="Create a new document." ma:contentTypeScope="" ma:versionID="824a7c5780ffd25123ef369c888cfcb7">
  <xsd:schema xmlns:xsd="http://www.w3.org/2001/XMLSchema" xmlns:xs="http://www.w3.org/2001/XMLSchema" xmlns:p="http://schemas.microsoft.com/office/2006/metadata/properties" xmlns:ns2="b7f4d0fd-4a48-420a-9d9b-ef23aa42f17c" xmlns:ns3="4f279d87-4f08-4817-889f-61ca4a0e19ac" targetNamespace="http://schemas.microsoft.com/office/2006/metadata/properties" ma:root="true" ma:fieldsID="41e066126d0f74b8c356ab3c43de74b6" ns2:_="" ns3:_="">
    <xsd:import namespace="b7f4d0fd-4a48-420a-9d9b-ef23aa42f17c"/>
    <xsd:import namespace="4f279d87-4f08-4817-889f-61ca4a0e19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4d0fd-4a48-420a-9d9b-ef23aa42f1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49fcf08-7f9b-4a2d-9a94-f899df7b3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79d87-4f08-4817-889f-61ca4a0e19a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DAB015-E9AC-4359-B4DD-21737990B539}">
  <ds:schemaRefs>
    <ds:schemaRef ds:uri="http://schemas.microsoft.com/office/2006/metadata/properties"/>
    <ds:schemaRef ds:uri="http://schemas.microsoft.com/office/infopath/2007/PartnerControls"/>
    <ds:schemaRef ds:uri="b7f4d0fd-4a48-420a-9d9b-ef23aa42f17c"/>
  </ds:schemaRefs>
</ds:datastoreItem>
</file>

<file path=customXml/itemProps2.xml><?xml version="1.0" encoding="utf-8"?>
<ds:datastoreItem xmlns:ds="http://schemas.openxmlformats.org/officeDocument/2006/customXml" ds:itemID="{0FBD6307-4766-4EE0-86E5-87CF8EEF6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f4d0fd-4a48-420a-9d9b-ef23aa42f17c"/>
    <ds:schemaRef ds:uri="4f279d87-4f08-4817-889f-61ca4a0e19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2722DB-31B5-4DC5-B6FF-0B8FB3991E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2447</Words>
  <Characters>13950</Characters>
  <Application>Microsoft Office Word</Application>
  <DocSecurity>4</DocSecurity>
  <Lines>116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Keaton Ramjit</dc:creator>
  <cp:keywords/>
  <dc:description/>
  <cp:lastModifiedBy>Toniolo</cp:lastModifiedBy>
  <cp:revision>2</cp:revision>
  <dcterms:created xsi:type="dcterms:W3CDTF">2026-05-19T09:58:00Z</dcterms:created>
  <dcterms:modified xsi:type="dcterms:W3CDTF">2026-05-19T09:58:00Z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0x0101002944C2FC482FFF4887CE7EE2D0AA8D24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